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4E" w14:textId="0F52784E" w:rsidR="00C035D5" w:rsidRPr="00C31BD8" w:rsidRDefault="001A1E8E">
      <w:pPr>
        <w:pStyle w:val="1"/>
        <w:rPr>
          <w:rFonts w:eastAsia="SimSun"/>
        </w:rPr>
      </w:pPr>
      <w:r>
        <w:t>Описание функциональных возможностей</w:t>
      </w:r>
      <w:r w:rsidR="00C31BD8">
        <w:t xml:space="preserve"> </w:t>
      </w:r>
      <w:r w:rsidR="00050A02">
        <w:t>ИАС СЦ. Комплексная безопасность</w:t>
      </w:r>
    </w:p>
    <w:p w14:paraId="4C009436" w14:textId="77777777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br w:type="page" w:clear="all"/>
      </w:r>
    </w:p>
    <w:p w14:paraId="4D42A738" w14:textId="4D63A077" w:rsidR="00C035D5" w:rsidRDefault="00050A02">
      <w:pPr>
        <w:pStyle w:val="1"/>
      </w:pPr>
      <w:r>
        <w:lastRenderedPageBreak/>
        <w:t>ИАС СЦ. Комплексная безопасность</w:t>
      </w:r>
    </w:p>
    <w:p w14:paraId="1852F444" w14:textId="077E765B" w:rsidR="00C31BD8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Модуль </w:t>
      </w:r>
      <w:r w:rsidR="00050A02" w:rsidRPr="00050A02">
        <w:rPr>
          <w:rFonts w:asciiTheme="minorHAnsi" w:hAnsiTheme="minorHAnsi" w:cstheme="minorHAnsi"/>
          <w:sz w:val="22"/>
          <w:szCs w:val="22"/>
        </w:rPr>
        <w:t>ИАС СЦ. Комплексная безопасность</w:t>
      </w:r>
      <w:r w:rsidR="001A1E8E">
        <w:rPr>
          <w:rFonts w:asciiTheme="minorHAnsi" w:hAnsiTheme="minorHAnsi" w:cstheme="minorHAnsi"/>
          <w:sz w:val="22"/>
          <w:szCs w:val="22"/>
        </w:rPr>
        <w:t xml:space="preserve"> (далее — </w:t>
      </w:r>
      <w:r>
        <w:rPr>
          <w:rFonts w:asciiTheme="minorHAnsi" w:hAnsiTheme="minorHAnsi" w:cstheme="minorHAnsi"/>
          <w:sz w:val="22"/>
          <w:szCs w:val="22"/>
        </w:rPr>
        <w:t>Модуль</w:t>
      </w:r>
      <w:r w:rsidR="001A1E8E">
        <w:rPr>
          <w:rFonts w:asciiTheme="minorHAnsi" w:hAnsiTheme="minorHAnsi" w:cstheme="minorHAnsi"/>
          <w:sz w:val="22"/>
          <w:szCs w:val="22"/>
        </w:rPr>
        <w:t>)</w:t>
      </w:r>
      <w:r w:rsidR="001A1E8E" w:rsidRPr="00050A02">
        <w:rPr>
          <w:rFonts w:asciiTheme="minorHAnsi" w:hAnsiTheme="minorHAnsi" w:cstheme="minorHAnsi"/>
          <w:sz w:val="22"/>
          <w:szCs w:val="21"/>
        </w:rPr>
        <w:t xml:space="preserve"> – </w:t>
      </w:r>
      <w:r w:rsidR="00050A02" w:rsidRPr="00050A02">
        <w:rPr>
          <w:rFonts w:asciiTheme="minorHAnsi" w:hAnsiTheme="minorHAnsi" w:cstheme="minorHAnsi"/>
          <w:sz w:val="22"/>
          <w:szCs w:val="21"/>
        </w:rPr>
        <w:t>это решение, позволяющее осуществлять контроль и мониторинг инцидентов в сфере комплексной безопасности, которые происходят на территории объекта мониторинга. Регистрируемые инциденты могут относиться к зоне ответственности экстренных или диспетчерских служб различного уровня (в т.ч. но не ограничиваясь: Служба 112, Служба скорой медицинской помощи, Служба полиции, Служба пожарной охраны, Служба ГИБДД, Служба МЧС, частная экстренная или диспетчерская служба и т.д.)</w:t>
      </w:r>
      <w:r w:rsidR="001A1E8E" w:rsidRPr="00050A02">
        <w:rPr>
          <w:rFonts w:asciiTheme="minorHAnsi" w:hAnsiTheme="minorHAnsi" w:cstheme="minorHAnsi"/>
          <w:sz w:val="22"/>
          <w:szCs w:val="21"/>
        </w:rPr>
        <w:t>.</w:t>
      </w:r>
    </w:p>
    <w:p w14:paraId="1234CF84" w14:textId="761F10B7" w:rsidR="00C035D5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Модуль</w:t>
      </w:r>
      <w:r w:rsidR="001A1E8E">
        <w:rPr>
          <w:rFonts w:asciiTheme="minorHAnsi" w:hAnsiTheme="minorHAnsi" w:cstheme="minorHAnsi"/>
          <w:sz w:val="22"/>
        </w:rPr>
        <w:t xml:space="preserve"> позволяет управлять следующей функциональностью:</w:t>
      </w:r>
    </w:p>
    <w:p w14:paraId="0F09A85D" w14:textId="77777777" w:rsidR="00C035D5" w:rsidRDefault="001A1E8E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сбор данных из разных источников:</w:t>
      </w:r>
    </w:p>
    <w:p w14:paraId="008CAE1D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файлы</w:t>
      </w:r>
    </w:p>
    <w:p w14:paraId="30003619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внешние системы</w:t>
      </w:r>
    </w:p>
    <w:p w14:paraId="13283354" w14:textId="20D143A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базы данных</w:t>
      </w:r>
    </w:p>
    <w:p w14:paraId="171D2B39" w14:textId="28F580DB" w:rsidR="00C31BD8" w:rsidRDefault="00C31BD8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ручной ввод данных</w:t>
      </w:r>
    </w:p>
    <w:p w14:paraId="0845DF1E" w14:textId="12F6DB8C" w:rsidR="00C035D5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структурирование, группировка, преобразование полученных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2351414F" w14:textId="619236BF" w:rsidR="00C31BD8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создание структуры хранения данных;</w:t>
      </w:r>
    </w:p>
    <w:p w14:paraId="414B3439" w14:textId="5C7784F9" w:rsidR="007F2000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периодичности обновления данных;</w:t>
      </w:r>
    </w:p>
    <w:p w14:paraId="7B8D4990" w14:textId="1A282DFB" w:rsidR="00C035D5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визуализация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61DBCED1" w14:textId="5F54C2FE" w:rsidR="00C035D5" w:rsidRPr="0090440D" w:rsidRDefault="0090440D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регламентных отчетов и пользовательской аналитики</w:t>
      </w:r>
      <w:r w:rsidR="001A1E8E" w:rsidRPr="0090440D">
        <w:rPr>
          <w:rFonts w:asciiTheme="minorHAnsi" w:hAnsiTheme="minorHAnsi" w:cstheme="minorHAnsi"/>
          <w:sz w:val="22"/>
        </w:rPr>
        <w:t>.</w:t>
      </w:r>
    </w:p>
    <w:p w14:paraId="489A2521" w14:textId="77777777" w:rsidR="00C035D5" w:rsidRDefault="00C035D5">
      <w:pPr>
        <w:rPr>
          <w:rFonts w:asciiTheme="minorHAnsi" w:hAnsiTheme="minorHAnsi" w:cstheme="minorHAnsi"/>
          <w:sz w:val="22"/>
        </w:rPr>
      </w:pPr>
    </w:p>
    <w:p w14:paraId="5C8F50D5" w14:textId="77777777" w:rsidR="00C035D5" w:rsidRDefault="001A1E8E">
      <w:pPr>
        <w:rPr>
          <w:rFonts w:hint="eastAsia"/>
        </w:rPr>
      </w:pPr>
      <w:r>
        <w:br w:type="page" w:clear="all"/>
      </w:r>
    </w:p>
    <w:p w14:paraId="011CE029" w14:textId="19419083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lastRenderedPageBreak/>
        <w:t xml:space="preserve">Определения и сокращения </w:t>
      </w:r>
      <w:r w:rsidR="0090440D" w:rsidRPr="0090440D"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t>Модуля</w:t>
      </w:r>
    </w:p>
    <w:p w14:paraId="4BD04422" w14:textId="5DE99B53" w:rsidR="00C035D5" w:rsidRPr="0090440D" w:rsidRDefault="001A1E8E">
      <w:pPr>
        <w:jc w:val="both"/>
        <w:rPr>
          <w:rFonts w:asciiTheme="minorHAnsi" w:hAnsiTheme="minorHAnsi" w:cstheme="minorHAnsi"/>
        </w:rPr>
      </w:pPr>
      <w:r w:rsidRPr="0090440D">
        <w:rPr>
          <w:rFonts w:asciiTheme="minorHAnsi" w:hAnsiTheme="minorHAnsi" w:cstheme="minorHAnsi"/>
        </w:rPr>
        <w:t xml:space="preserve">Определения и сокращения </w:t>
      </w:r>
      <w:r w:rsidR="0090440D" w:rsidRPr="0090440D">
        <w:rPr>
          <w:rFonts w:asciiTheme="minorHAnsi" w:hAnsiTheme="minorHAnsi" w:cstheme="minorHAnsi"/>
        </w:rPr>
        <w:t>Модуля</w:t>
      </w:r>
      <w:r w:rsidRPr="0090440D">
        <w:rPr>
          <w:rFonts w:asciiTheme="minorHAnsi" w:hAnsiTheme="minorHAnsi" w:cstheme="minorHAnsi"/>
        </w:rPr>
        <w:t xml:space="preserve"> представлены в </w:t>
      </w:r>
      <w:r w:rsidRPr="0090440D">
        <w:rPr>
          <w:rFonts w:asciiTheme="minorHAnsi" w:hAnsiTheme="minorHAnsi" w:cstheme="minorHAnsi"/>
        </w:rPr>
        <w:fldChar w:fldCharType="begin"/>
      </w:r>
      <w:r w:rsidRPr="0090440D">
        <w:rPr>
          <w:rFonts w:asciiTheme="minorHAnsi" w:hAnsiTheme="minorHAnsi" w:cstheme="minorHAnsi"/>
        </w:rPr>
        <w:instrText xml:space="preserve"> REF _Ref117592003 \h  \* MERGEFORMAT </w:instrText>
      </w:r>
      <w:r w:rsidRPr="0090440D">
        <w:rPr>
          <w:rFonts w:asciiTheme="minorHAnsi" w:hAnsiTheme="minorHAnsi" w:cstheme="minorHAnsi"/>
        </w:rPr>
      </w:r>
      <w:r w:rsidRPr="0090440D">
        <w:rPr>
          <w:rFonts w:asciiTheme="minorHAnsi" w:hAnsiTheme="minorHAnsi" w:cstheme="minorHAnsi"/>
        </w:rPr>
        <w:fldChar w:fldCharType="separate"/>
      </w:r>
      <w:r w:rsidRPr="0090440D">
        <w:rPr>
          <w:rFonts w:asciiTheme="minorHAnsi" w:hAnsiTheme="minorHAnsi" w:cstheme="minorHAnsi"/>
        </w:rPr>
        <w:t>таблице 1</w:t>
      </w:r>
      <w:r w:rsidRPr="0090440D">
        <w:rPr>
          <w:rFonts w:asciiTheme="minorHAnsi" w:hAnsiTheme="minorHAnsi" w:cstheme="minorHAnsi"/>
        </w:rPr>
        <w:fldChar w:fldCharType="end"/>
      </w:r>
      <w:r w:rsidRPr="0090440D">
        <w:rPr>
          <w:rFonts w:asciiTheme="minorHAnsi" w:hAnsiTheme="minorHAnsi" w:cstheme="minorHAnsi"/>
        </w:rPr>
        <w:t>.</w:t>
      </w:r>
    </w:p>
    <w:p w14:paraId="20FEEEC4" w14:textId="2A57F3ED" w:rsidR="00C035D5" w:rsidRPr="0090440D" w:rsidRDefault="001A1E8E">
      <w:pPr>
        <w:pStyle w:val="af9"/>
        <w:keepNext/>
        <w:rPr>
          <w:rFonts w:hint="eastAsia"/>
        </w:rPr>
      </w:pPr>
      <w:bookmarkStart w:id="0" w:name="_Ref117592003"/>
      <w:r>
        <w:rPr>
          <w:rFonts w:hint="eastAsia"/>
        </w:rPr>
        <w:t>Таблица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Таблица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0"/>
      <w:r>
        <w:t xml:space="preserve">. Определения и сокращения </w:t>
      </w:r>
      <w:r w:rsidR="0090440D">
        <w:t>Модуля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C035D5" w:rsidRPr="005B7F17" w14:paraId="456AE05D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8980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EB75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Определение</w:t>
            </w:r>
          </w:p>
        </w:tc>
      </w:tr>
      <w:tr w:rsidR="00C035D5" w:rsidRPr="005B7F17" w14:paraId="69417643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291A" w14:textId="25C764C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Аналитическая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Б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аза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Д</w:t>
            </w:r>
            <w:proofErr w:type="spellStart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анных</w:t>
            </w:r>
            <w:proofErr w:type="spellEnd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англ</w:t>
            </w:r>
            <w:proofErr w:type="spellEnd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1B3" w14:textId="77777777" w:rsidR="00C035D5" w:rsidRPr="005B7F17" w:rsidRDefault="001A1E8E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C035D5" w:rsidRPr="005B7F17" w14:paraId="2B2AFD9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A75" w14:textId="480BB21E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База данных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67B" w14:textId="08F1B43F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Собственная база данных платформы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proofErr w:type="spellEnd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, предназначенная для ускорения обработки аналитических запросов.</w:t>
            </w:r>
          </w:p>
        </w:tc>
      </w:tr>
      <w:tr w:rsidR="00C035D5" w:rsidRPr="0090440D" w14:paraId="6D142F4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7832" w14:textId="2AFDA71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BCE" w14:textId="65003E81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Модуль платформы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proofErr w:type="spellEnd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5B4D3F0A" w14:textId="77777777" w:rsidR="00C035D5" w:rsidRDefault="001A1E8E">
      <w:pPr>
        <w:pStyle w:val="1"/>
      </w:pPr>
      <w:r>
        <w:t>Архитектура решения</w:t>
      </w:r>
    </w:p>
    <w:p w14:paraId="3D785C3E" w14:textId="77777777" w:rsidR="00C035D5" w:rsidRDefault="001A1E8E">
      <w:pPr>
        <w:pStyle w:val="2"/>
      </w:pPr>
      <w:r>
        <w:t>Состав компонент</w:t>
      </w:r>
    </w:p>
    <w:p w14:paraId="4D7788CB" w14:textId="28BEA7AD" w:rsidR="00C035D5" w:rsidRPr="00050A02" w:rsidRDefault="00255C66" w:rsidP="00050A02">
      <w:pPr>
        <w:spacing w:line="360" w:lineRule="auto"/>
        <w:rPr>
          <w:rFonts w:asciiTheme="minorHAnsi" w:hAnsiTheme="minorHAnsi" w:cstheme="minorHAnsi"/>
          <w:sz w:val="22"/>
          <w:szCs w:val="21"/>
        </w:rPr>
      </w:pPr>
      <w:r w:rsidRPr="00050A02">
        <w:rPr>
          <w:rFonts w:asciiTheme="minorHAnsi" w:hAnsiTheme="minorHAnsi" w:cstheme="minorHAnsi"/>
          <w:sz w:val="22"/>
          <w:szCs w:val="21"/>
        </w:rPr>
        <w:t>Модуль</w:t>
      </w:r>
      <w:r w:rsidR="001A1E8E" w:rsidRPr="00050A02">
        <w:rPr>
          <w:rFonts w:asciiTheme="minorHAnsi" w:hAnsiTheme="minorHAnsi" w:cstheme="minorHAnsi"/>
          <w:sz w:val="22"/>
          <w:szCs w:val="21"/>
        </w:rPr>
        <w:t xml:space="preserve"> включает в себя следующие </w:t>
      </w:r>
      <w:r w:rsidRPr="00050A02">
        <w:rPr>
          <w:rFonts w:asciiTheme="minorHAnsi" w:hAnsiTheme="minorHAnsi" w:cstheme="minorHAnsi"/>
          <w:sz w:val="22"/>
          <w:szCs w:val="21"/>
        </w:rPr>
        <w:t>разделы</w:t>
      </w:r>
      <w:r w:rsidR="001A1E8E" w:rsidRPr="00050A02">
        <w:rPr>
          <w:rFonts w:asciiTheme="minorHAnsi" w:hAnsiTheme="minorHAnsi" w:cstheme="minorHAnsi"/>
          <w:sz w:val="22"/>
          <w:szCs w:val="21"/>
        </w:rPr>
        <w:t>:</w:t>
      </w:r>
    </w:p>
    <w:p w14:paraId="0A8DD36C" w14:textId="5311490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Загрузочный модуль. </w:t>
      </w:r>
    </w:p>
    <w:p w14:paraId="7DF48536" w14:textId="2B4107C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мониторинга и анализа.</w:t>
      </w:r>
    </w:p>
    <w:p w14:paraId="5D334B9E" w14:textId="77777777" w:rsidR="00C035D5" w:rsidRDefault="00C035D5">
      <w:pPr>
        <w:pStyle w:val="3"/>
      </w:pPr>
    </w:p>
    <w:p w14:paraId="13E8CF02" w14:textId="2FB86D59" w:rsidR="00C035D5" w:rsidRDefault="00255C66">
      <w:pPr>
        <w:pStyle w:val="3"/>
      </w:pPr>
      <w:r>
        <w:t>Загрузочный модуль</w:t>
      </w:r>
    </w:p>
    <w:p w14:paraId="63DEEBDA" w14:textId="77777777" w:rsidR="00050A02" w:rsidRPr="00050A02" w:rsidRDefault="00050A02" w:rsidP="00050A02">
      <w:pPr>
        <w:pStyle w:val="525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Модуль загрузки предназначен для получения данных из различных информационных систем и дальнейшей их интеграции и распределения в соответствующие витрины в БД. </w:t>
      </w:r>
    </w:p>
    <w:p w14:paraId="7A0AE382" w14:textId="77777777" w:rsidR="00050A02" w:rsidRPr="00050A02" w:rsidRDefault="00050A02" w:rsidP="00050A02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проектной настройки модуля интеграции должна быть обеспечена автоматическая загрузка данных информационных систем или внутренних баз данных Заказчика, либо возможность загрузки данных посредством заполнения специально разработанных форм или загрузки документов в формате офисных приложений.</w:t>
      </w:r>
    </w:p>
    <w:p w14:paraId="0EC6DFDA" w14:textId="77777777" w:rsidR="00050A02" w:rsidRPr="00050A02" w:rsidRDefault="00050A02" w:rsidP="00050A02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модуля должна быть реализована функциональность, позволяющая получать данные по каждому из обследуемых показателей в динамике.</w:t>
      </w:r>
    </w:p>
    <w:p w14:paraId="50A4A0FA" w14:textId="77777777" w:rsidR="00C035D5" w:rsidRDefault="00C035D5">
      <w:pPr>
        <w:rPr>
          <w:rFonts w:asciiTheme="minorHAnsi" w:hAnsiTheme="minorHAnsi" w:cstheme="minorHAnsi"/>
        </w:rPr>
      </w:pPr>
    </w:p>
    <w:p w14:paraId="56C06A84" w14:textId="20B18695" w:rsidR="00C035D5" w:rsidRDefault="00255C66">
      <w:pPr>
        <w:pStyle w:val="3"/>
      </w:pPr>
      <w:r>
        <w:t>Модуль мониторинга и анализа</w:t>
      </w:r>
    </w:p>
    <w:p w14:paraId="3D7A57A7" w14:textId="212CD087" w:rsidR="00050A02" w:rsidRDefault="00050A02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состоит из одного раздела, где собраны информационные панели по разным показателям, а также содержится обобщенное сводное представление всех показателей.</w:t>
      </w:r>
    </w:p>
    <w:p w14:paraId="4F488BEE" w14:textId="5905483D" w:rsidR="007E108A" w:rsidRDefault="007E108A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Раздел содержит информационные панели по следующим группам:</w:t>
      </w:r>
    </w:p>
    <w:p w14:paraId="3AB11E95" w14:textId="121C130B" w:rsidR="007E108A" w:rsidRDefault="007E108A" w:rsidP="007E108A">
      <w:pPr>
        <w:pStyle w:val="151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Оперативные сводки.</w:t>
      </w:r>
    </w:p>
    <w:p w14:paraId="5A134E1C" w14:textId="1B4A78B6" w:rsidR="007E108A" w:rsidRDefault="007E108A" w:rsidP="007E108A">
      <w:pPr>
        <w:pStyle w:val="151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Карточки обращений в экстренную/диспетчерскую службу.</w:t>
      </w:r>
    </w:p>
    <w:p w14:paraId="13058D53" w14:textId="28E1D86E" w:rsidR="007E108A" w:rsidRPr="00050A02" w:rsidRDefault="007E108A" w:rsidP="007E108A">
      <w:pPr>
        <w:pStyle w:val="151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Отчет об эксплуатации экстренной/диспетчерской службы.</w:t>
      </w:r>
    </w:p>
    <w:p w14:paraId="2F486485" w14:textId="77777777" w:rsidR="00C035D5" w:rsidRDefault="001A1E8E">
      <w:pPr>
        <w:pStyle w:val="2"/>
        <w:rPr>
          <w:rFonts w:asciiTheme="minorHAnsi" w:hAnsiTheme="minorHAnsi" w:cstheme="minorHAnsi"/>
        </w:rPr>
      </w:pPr>
      <w:r>
        <w:t>Основные взаимодействия</w:t>
      </w:r>
    </w:p>
    <w:p w14:paraId="07450DC6" w14:textId="77777777" w:rsidR="00C035D5" w:rsidRPr="00050A02" w:rsidRDefault="001A1E8E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На 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begin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instrText xml:space="preserve"> REF _Ref117612101 \h  \* MERGEFORMAT </w:instrTex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separate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рисунке 1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end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представлена схема решения и основные взаимодействия между его частями и внешними системами:</w:t>
      </w:r>
    </w:p>
    <w:p w14:paraId="7F2E1508" w14:textId="09E3A27F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lastRenderedPageBreak/>
        <w:t>Сбор и преобразование данных из различных источников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25E9C546" w14:textId="07137F9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Ручной ввод данных в формы ввода Smart Forms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1441E187" w14:textId="008F3B3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данных ручного ввода в аналитическую базу данных для преобразования и обогащения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E75BC61" w14:textId="775267F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данных ручного ввода Smart Forms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5C8A1E4" w14:textId="272C52BE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Загрузка данных из аналитической базы данных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CF77AB3" w14:textId="73E42532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на различные разделы блока визуализации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D2AFAD1" w14:textId="1BFB7FF0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в настраиваемые регламентные отчеты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4E5234D" w14:textId="60A9F02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Взаимодействие</w:t>
      </w:r>
      <w:r w:rsidR="005B7F17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Пользователя с блоками визуализации данных и регламентными отчетами, настройка срезов данных, аналитика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3AA821A" w14:textId="4A442305" w:rsidR="00C035D5" w:rsidRDefault="00C035D5">
      <w:pPr>
        <w:pStyle w:val="afa"/>
        <w:rPr>
          <w:rFonts w:asciiTheme="minorHAnsi" w:hAnsiTheme="minorHAnsi" w:cstheme="minorHAnsi"/>
        </w:rPr>
      </w:pPr>
    </w:p>
    <w:p w14:paraId="719C6A13" w14:textId="06710605" w:rsidR="007E108A" w:rsidRDefault="007E108A" w:rsidP="007E108A">
      <w:pPr>
        <w:pStyle w:val="aff0"/>
      </w:pPr>
      <w:r>
        <w:rPr>
          <w:noProof/>
        </w:rPr>
        <w:drawing>
          <wp:inline distT="0" distB="0" distL="0" distR="0" wp14:anchorId="115B2B65" wp14:editId="4F795048">
            <wp:extent cx="6576060" cy="1920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32" cy="192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D098" w14:textId="4B2CC07E" w:rsidR="00C035D5" w:rsidRDefault="001A1E8E">
      <w:pPr>
        <w:pStyle w:val="af9"/>
        <w:rPr>
          <w:rFonts w:hint="eastAsia"/>
        </w:rPr>
      </w:pPr>
      <w:bookmarkStart w:id="1" w:name="_Ref117612101"/>
      <w:r>
        <w:rPr>
          <w:rFonts w:hint="eastAsia"/>
        </w:rPr>
        <w:t>Рисунок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Рисунок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1"/>
      <w:r>
        <w:t>. Архитектура решения</w:t>
      </w:r>
    </w:p>
    <w:p w14:paraId="0EE18AE7" w14:textId="7D9A6D52" w:rsidR="00CD4495" w:rsidRDefault="00CD4495">
      <w:pPr>
        <w:pStyle w:val="af9"/>
        <w:rPr>
          <w:rFonts w:hint="eastAsia"/>
        </w:rPr>
      </w:pPr>
    </w:p>
    <w:p w14:paraId="2860E5D7" w14:textId="6BC319D6" w:rsidR="00CD4495" w:rsidRDefault="00CD4495">
      <w:pPr>
        <w:pStyle w:val="af9"/>
        <w:rPr>
          <w:rFonts w:asciiTheme="minorHAnsi" w:hAnsiTheme="minorHAnsi" w:cstheme="minorHAnsi"/>
          <w:sz w:val="22"/>
        </w:rPr>
      </w:pPr>
    </w:p>
    <w:sectPr w:rsidR="00CD4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9FD0" w14:textId="77777777" w:rsidR="003D1019" w:rsidRDefault="003D1019">
      <w:pPr>
        <w:rPr>
          <w:rFonts w:hint="eastAsia"/>
        </w:rPr>
      </w:pPr>
      <w:r>
        <w:separator/>
      </w:r>
    </w:p>
  </w:endnote>
  <w:endnote w:type="continuationSeparator" w:id="0">
    <w:p w14:paraId="1E191E07" w14:textId="77777777" w:rsidR="003D1019" w:rsidRDefault="003D10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0EB2" w14:textId="77777777" w:rsidR="003D1019" w:rsidRDefault="003D10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D3DCD4" w14:textId="77777777" w:rsidR="003D1019" w:rsidRDefault="003D10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8AF"/>
    <w:multiLevelType w:val="hybridMultilevel"/>
    <w:tmpl w:val="F65EF848"/>
    <w:lvl w:ilvl="0" w:tplc="75CA675C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8022BE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D5B639E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0602F9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732DFC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1E0911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5C0975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CD470F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DD62884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D50800"/>
    <w:multiLevelType w:val="hybridMultilevel"/>
    <w:tmpl w:val="2F00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5326"/>
    <w:multiLevelType w:val="hybridMultilevel"/>
    <w:tmpl w:val="BBCCF8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6D0A6DC9"/>
    <w:multiLevelType w:val="hybridMultilevel"/>
    <w:tmpl w:val="096CCAF8"/>
    <w:lvl w:ilvl="0" w:tplc="0994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E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335E"/>
    <w:multiLevelType w:val="hybridMultilevel"/>
    <w:tmpl w:val="A9B2B136"/>
    <w:lvl w:ilvl="0" w:tplc="D7683C54">
      <w:start w:val="1"/>
      <w:numFmt w:val="decimal"/>
      <w:lvlText w:val="%1."/>
      <w:lvlJc w:val="left"/>
      <w:pPr>
        <w:ind w:left="720" w:hanging="360"/>
      </w:pPr>
    </w:lvl>
    <w:lvl w:ilvl="1" w:tplc="DE5AB57E">
      <w:start w:val="1"/>
      <w:numFmt w:val="lowerLetter"/>
      <w:lvlText w:val="%2."/>
      <w:lvlJc w:val="left"/>
      <w:pPr>
        <w:ind w:left="1440" w:hanging="360"/>
      </w:pPr>
    </w:lvl>
    <w:lvl w:ilvl="2" w:tplc="15BE717A">
      <w:start w:val="1"/>
      <w:numFmt w:val="lowerRoman"/>
      <w:lvlText w:val="%3."/>
      <w:lvlJc w:val="right"/>
      <w:pPr>
        <w:ind w:left="2160" w:hanging="180"/>
      </w:pPr>
    </w:lvl>
    <w:lvl w:ilvl="3" w:tplc="BBFC2B7E">
      <w:start w:val="1"/>
      <w:numFmt w:val="decimal"/>
      <w:lvlText w:val="%4."/>
      <w:lvlJc w:val="left"/>
      <w:pPr>
        <w:ind w:left="2880" w:hanging="360"/>
      </w:pPr>
    </w:lvl>
    <w:lvl w:ilvl="4" w:tplc="0922BB74">
      <w:start w:val="1"/>
      <w:numFmt w:val="lowerLetter"/>
      <w:lvlText w:val="%5."/>
      <w:lvlJc w:val="left"/>
      <w:pPr>
        <w:ind w:left="3600" w:hanging="360"/>
      </w:pPr>
    </w:lvl>
    <w:lvl w:ilvl="5" w:tplc="E3EECEFC">
      <w:start w:val="1"/>
      <w:numFmt w:val="lowerRoman"/>
      <w:lvlText w:val="%6."/>
      <w:lvlJc w:val="right"/>
      <w:pPr>
        <w:ind w:left="4320" w:hanging="180"/>
      </w:pPr>
    </w:lvl>
    <w:lvl w:ilvl="6" w:tplc="19E822CA">
      <w:start w:val="1"/>
      <w:numFmt w:val="decimal"/>
      <w:lvlText w:val="%7."/>
      <w:lvlJc w:val="left"/>
      <w:pPr>
        <w:ind w:left="5040" w:hanging="360"/>
      </w:pPr>
    </w:lvl>
    <w:lvl w:ilvl="7" w:tplc="02CE0FD6">
      <w:start w:val="1"/>
      <w:numFmt w:val="lowerLetter"/>
      <w:lvlText w:val="%8."/>
      <w:lvlJc w:val="left"/>
      <w:pPr>
        <w:ind w:left="5760" w:hanging="360"/>
      </w:pPr>
    </w:lvl>
    <w:lvl w:ilvl="8" w:tplc="D9D68B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C61"/>
    <w:multiLevelType w:val="hybridMultilevel"/>
    <w:tmpl w:val="8DF09690"/>
    <w:lvl w:ilvl="0" w:tplc="A61A9FA4">
      <w:start w:val="1"/>
      <w:numFmt w:val="decimal"/>
      <w:lvlText w:val="%1."/>
      <w:lvlJc w:val="left"/>
      <w:pPr>
        <w:ind w:left="720" w:hanging="360"/>
      </w:pPr>
    </w:lvl>
    <w:lvl w:ilvl="1" w:tplc="00889E6C">
      <w:start w:val="1"/>
      <w:numFmt w:val="lowerLetter"/>
      <w:lvlText w:val="%2."/>
      <w:lvlJc w:val="left"/>
      <w:pPr>
        <w:ind w:left="1440" w:hanging="360"/>
      </w:pPr>
    </w:lvl>
    <w:lvl w:ilvl="2" w:tplc="FEF0EBD0">
      <w:start w:val="1"/>
      <w:numFmt w:val="lowerRoman"/>
      <w:lvlText w:val="%3."/>
      <w:lvlJc w:val="right"/>
      <w:pPr>
        <w:ind w:left="2160" w:hanging="180"/>
      </w:pPr>
    </w:lvl>
    <w:lvl w:ilvl="3" w:tplc="3468D2BC">
      <w:start w:val="1"/>
      <w:numFmt w:val="decimal"/>
      <w:lvlText w:val="%4."/>
      <w:lvlJc w:val="left"/>
      <w:pPr>
        <w:ind w:left="2880" w:hanging="360"/>
      </w:pPr>
    </w:lvl>
    <w:lvl w:ilvl="4" w:tplc="2F7644A2">
      <w:start w:val="1"/>
      <w:numFmt w:val="lowerLetter"/>
      <w:lvlText w:val="%5."/>
      <w:lvlJc w:val="left"/>
      <w:pPr>
        <w:ind w:left="3600" w:hanging="360"/>
      </w:pPr>
    </w:lvl>
    <w:lvl w:ilvl="5" w:tplc="8E3882BC">
      <w:start w:val="1"/>
      <w:numFmt w:val="lowerRoman"/>
      <w:lvlText w:val="%6."/>
      <w:lvlJc w:val="right"/>
      <w:pPr>
        <w:ind w:left="4320" w:hanging="180"/>
      </w:pPr>
    </w:lvl>
    <w:lvl w:ilvl="6" w:tplc="F8CE8346">
      <w:start w:val="1"/>
      <w:numFmt w:val="decimal"/>
      <w:lvlText w:val="%7."/>
      <w:lvlJc w:val="left"/>
      <w:pPr>
        <w:ind w:left="5040" w:hanging="360"/>
      </w:pPr>
    </w:lvl>
    <w:lvl w:ilvl="7" w:tplc="8200A148">
      <w:start w:val="1"/>
      <w:numFmt w:val="lowerLetter"/>
      <w:lvlText w:val="%8."/>
      <w:lvlJc w:val="left"/>
      <w:pPr>
        <w:ind w:left="5760" w:hanging="360"/>
      </w:pPr>
    </w:lvl>
    <w:lvl w:ilvl="8" w:tplc="B22AAA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74B78"/>
    <w:multiLevelType w:val="hybridMultilevel"/>
    <w:tmpl w:val="E242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D5"/>
    <w:rsid w:val="00050A02"/>
    <w:rsid w:val="00104AC3"/>
    <w:rsid w:val="001A1E8E"/>
    <w:rsid w:val="00255C66"/>
    <w:rsid w:val="003D1019"/>
    <w:rsid w:val="005B7F17"/>
    <w:rsid w:val="007E108A"/>
    <w:rsid w:val="007F2000"/>
    <w:rsid w:val="0090440D"/>
    <w:rsid w:val="00C035D5"/>
    <w:rsid w:val="00C31BD8"/>
    <w:rsid w:val="00C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D3"/>
  <w15:docId w15:val="{E274E46D-A715-4F9C-ACB0-1F0286F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link w:val="20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8">
    <w:name w:val="List"/>
    <w:basedOn w:val="Textbody"/>
  </w:style>
  <w:style w:type="paragraph" w:styleId="af9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rPr>
      <w:rFonts w:ascii="Times New Roman" w:eastAsia="Times New Roman" w:hAnsi="Times New Roman" w:cs="Arial"/>
      <w:sz w:val="20"/>
      <w:szCs w:val="20"/>
      <w:lang w:eastAsia="ru-RU" w:bidi="ar-SA"/>
    </w:rPr>
  </w:style>
  <w:style w:type="character" w:customStyle="1" w:styleId="afd">
    <w:name w:val="Текст примечания Знак"/>
    <w:basedOn w:val="a0"/>
    <w:link w:val="afc"/>
    <w:rPr>
      <w:rFonts w:ascii="Times New Roman" w:eastAsia="Times New Roman" w:hAnsi="Times New Roman" w:cs="Arial"/>
      <w:sz w:val="20"/>
      <w:szCs w:val="20"/>
      <w:lang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13">
    <w:name w:val="Обычный1"/>
    <w:uiPriority w:val="99"/>
    <w:rsid w:val="00255C66"/>
    <w:rPr>
      <w:rFonts w:ascii="Times New Roman" w:eastAsia="Times New Roman" w:hAnsi="Times New Roman" w:cs="Times New Roman"/>
      <w:lang w:eastAsia="ru-RU" w:bidi="ar-SA"/>
    </w:rPr>
  </w:style>
  <w:style w:type="character" w:customStyle="1" w:styleId="docdata">
    <w:name w:val="docdata"/>
    <w:aliases w:val="docy,v5,3480,bqiaagaaeyqcaaagiaiaaampcgaabtckaaaaaaaaaaaaaaaaaaaaaaaaaaaaaaaaaaaaaaaaaaaaaaaaaaaaaaaaaaaaaaaaaaaaaaaaaaaaaaaaaaaaaaaaaaaaaaaaaaaaaaaaaaaaaaaaaaaaaaaaaaaaaaaaaaaaaaaaaaaaaaaaaaaaaaaaaaaaaaaaaaaaaaaaaaaaaaaaaaaaaaaaaaaaaaaaaaaaaaaa"/>
    <w:basedOn w:val="a0"/>
    <w:rsid w:val="00255C66"/>
  </w:style>
  <w:style w:type="paragraph" w:customStyle="1" w:styleId="1517">
    <w:name w:val="1517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5250">
    <w:name w:val="5250"/>
    <w:aliases w:val="bqiaagaaeyqcaaagiaiaaamteqaabser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0">
    <w:name w:val="Normal (Web)"/>
    <w:basedOn w:val="a"/>
    <w:uiPriority w:val="99"/>
    <w:semiHidden/>
    <w:unhideWhenUsed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8959-6C64-4DDE-BCA0-2041EBA0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E6C0F-5423-46A4-9CEF-AECE3FBE2990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3.xml><?xml version="1.0" encoding="utf-8"?>
<ds:datastoreItem xmlns:ds="http://schemas.openxmlformats.org/officeDocument/2006/customXml" ds:itemID="{79B1F2D0-2D73-4AD7-B741-9C27E7597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95972-7226-41FB-8A41-E2EDE043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Ayrat Zinatullin</cp:lastModifiedBy>
  <cp:revision>4</cp:revision>
  <dcterms:created xsi:type="dcterms:W3CDTF">2022-05-19T13:27:00Z</dcterms:created>
  <dcterms:modified xsi:type="dcterms:W3CDTF">2024-04-11T12:08:00Z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