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244E" w14:textId="6B1B57CD" w:rsidR="00C035D5" w:rsidRPr="00C31BD8" w:rsidRDefault="001A1E8E">
      <w:pPr>
        <w:pStyle w:val="1"/>
        <w:rPr>
          <w:rFonts w:eastAsia="SimSun"/>
        </w:rPr>
      </w:pPr>
      <w:r>
        <w:t>Описание функциональных возможностей</w:t>
      </w:r>
      <w:r w:rsidR="00C31BD8">
        <w:t xml:space="preserve"> </w:t>
      </w:r>
      <w:r w:rsidR="00303887">
        <w:t>ИАС СЦ. Мониторинг, контроль исполнения бюджета и закупочной деятельности</w:t>
      </w:r>
    </w:p>
    <w:p w14:paraId="4C009436" w14:textId="77777777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br w:type="page" w:clear="all"/>
      </w:r>
    </w:p>
    <w:p w14:paraId="4D42A738" w14:textId="1EC80B60" w:rsidR="00C035D5" w:rsidRPr="00303887" w:rsidRDefault="00303887">
      <w:pPr>
        <w:pStyle w:val="1"/>
      </w:pPr>
      <w:r>
        <w:lastRenderedPageBreak/>
        <w:t xml:space="preserve">ИАС СЦ. Мониторинг, контроль исполнения бюджета и закупочной </w:t>
      </w:r>
      <w:r w:rsidRPr="00303887">
        <w:t>деятельности</w:t>
      </w:r>
    </w:p>
    <w:p w14:paraId="1852F444" w14:textId="76A734B6" w:rsidR="00C31BD8" w:rsidRPr="00303887" w:rsidRDefault="00C31BD8" w:rsidP="00303887">
      <w:pPr>
        <w:pStyle w:val="13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Модуль </w:t>
      </w:r>
      <w:r w:rsidR="00303887" w:rsidRPr="00303887">
        <w:rPr>
          <w:rFonts w:asciiTheme="minorHAnsi" w:hAnsiTheme="minorHAnsi" w:cstheme="minorHAnsi"/>
          <w:sz w:val="22"/>
          <w:szCs w:val="22"/>
        </w:rPr>
        <w:t>ИАС СЦ. Мониторинг, контроль исполнения бюджета и закупочной деятельности</w:t>
      </w:r>
      <w:r w:rsidR="00303887">
        <w:rPr>
          <w:rFonts w:asciiTheme="minorHAnsi" w:hAnsiTheme="minorHAnsi" w:cstheme="minorHAnsi"/>
          <w:sz w:val="22"/>
          <w:szCs w:val="22"/>
        </w:rPr>
        <w:t xml:space="preserve"> </w:t>
      </w:r>
      <w:r w:rsidR="001A1E8E">
        <w:rPr>
          <w:rFonts w:asciiTheme="minorHAnsi" w:hAnsiTheme="minorHAnsi" w:cstheme="minorHAnsi"/>
          <w:sz w:val="22"/>
          <w:szCs w:val="22"/>
        </w:rPr>
        <w:t xml:space="preserve">(далее — </w:t>
      </w:r>
      <w:r>
        <w:rPr>
          <w:rFonts w:asciiTheme="minorHAnsi" w:hAnsiTheme="minorHAnsi" w:cstheme="minorHAnsi"/>
          <w:sz w:val="22"/>
          <w:szCs w:val="22"/>
        </w:rPr>
        <w:t>Модуль</w:t>
      </w:r>
      <w:r w:rsidR="001A1E8E">
        <w:rPr>
          <w:rFonts w:asciiTheme="minorHAnsi" w:hAnsiTheme="minorHAnsi" w:cstheme="minorHAnsi"/>
          <w:sz w:val="22"/>
          <w:szCs w:val="22"/>
        </w:rPr>
        <w:t>)</w:t>
      </w:r>
      <w:r w:rsidR="001A1E8E" w:rsidRPr="008769BB">
        <w:rPr>
          <w:rFonts w:asciiTheme="minorHAnsi" w:hAnsiTheme="minorHAnsi" w:cstheme="minorHAnsi"/>
          <w:sz w:val="22"/>
          <w:szCs w:val="22"/>
        </w:rPr>
        <w:t xml:space="preserve"> – </w:t>
      </w:r>
      <w:r w:rsidR="00303887" w:rsidRPr="00303887">
        <w:rPr>
          <w:rFonts w:asciiTheme="minorHAnsi" w:hAnsiTheme="minorHAnsi" w:cstheme="minorHAnsi"/>
          <w:sz w:val="22"/>
          <w:szCs w:val="22"/>
        </w:rPr>
        <w:t>это решение, позволяющее осуществлять контроль и мониторинг параметров исполнения бюджета и/или вести контроль за закупочной деятельностью объекта мониторинга (субъектов федерального, регионального, местного уровня, а также государственных внебюджетных фондов, органов власти любого уровня, организации/учреждения любой организации и формы собственности).</w:t>
      </w:r>
    </w:p>
    <w:p w14:paraId="1234CF84" w14:textId="761F10B7" w:rsidR="00C035D5" w:rsidRDefault="00C31BD8" w:rsidP="00050A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Модуль</w:t>
      </w:r>
      <w:r w:rsidR="001A1E8E">
        <w:rPr>
          <w:rFonts w:asciiTheme="minorHAnsi" w:hAnsiTheme="minorHAnsi" w:cstheme="minorHAnsi"/>
          <w:sz w:val="22"/>
        </w:rPr>
        <w:t xml:space="preserve"> позволяет управлять следующей функциональностью:</w:t>
      </w:r>
    </w:p>
    <w:p w14:paraId="0F09A85D" w14:textId="77777777" w:rsidR="00C035D5" w:rsidRDefault="001A1E8E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сбор данных из разных источников:</w:t>
      </w:r>
    </w:p>
    <w:p w14:paraId="008CAE1D" w14:textId="7777777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файлы</w:t>
      </w:r>
    </w:p>
    <w:p w14:paraId="30003619" w14:textId="7777777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внешние системы</w:t>
      </w:r>
    </w:p>
    <w:p w14:paraId="13283354" w14:textId="20D143A7" w:rsidR="00C035D5" w:rsidRDefault="001A1E8E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базы данных</w:t>
      </w:r>
    </w:p>
    <w:p w14:paraId="171D2B39" w14:textId="28F580DB" w:rsidR="00C31BD8" w:rsidRDefault="00C31BD8" w:rsidP="00050A02">
      <w:pPr>
        <w:pStyle w:val="af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ручной ввод данных</w:t>
      </w:r>
    </w:p>
    <w:p w14:paraId="0845DF1E" w14:textId="12F6DB8C" w:rsidR="00C035D5" w:rsidRDefault="00C31BD8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структурирование, группировка, преобразование полученных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2351414F" w14:textId="619236BF" w:rsidR="00C31BD8" w:rsidRDefault="00C31BD8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создание структуры хранения данных;</w:t>
      </w:r>
    </w:p>
    <w:p w14:paraId="414B3439" w14:textId="5C7784F9" w:rsidR="007F2000" w:rsidRDefault="007F2000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периодичности обновления данных;</w:t>
      </w:r>
    </w:p>
    <w:p w14:paraId="7B8D4990" w14:textId="1A282DFB" w:rsidR="00C035D5" w:rsidRDefault="007F2000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визуализация данных</w:t>
      </w:r>
      <w:r w:rsidR="001A1E8E">
        <w:rPr>
          <w:rFonts w:asciiTheme="minorHAnsi" w:hAnsiTheme="minorHAnsi" w:cstheme="minorHAnsi"/>
          <w:sz w:val="22"/>
        </w:rPr>
        <w:t>;</w:t>
      </w:r>
    </w:p>
    <w:p w14:paraId="61DBCED1" w14:textId="5F54C2FE" w:rsidR="00C035D5" w:rsidRPr="0090440D" w:rsidRDefault="0090440D" w:rsidP="00050A02">
      <w:pPr>
        <w:pStyle w:val="af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настройка регламентных отчетов и пользовательской аналитики</w:t>
      </w:r>
      <w:r w:rsidR="001A1E8E" w:rsidRPr="0090440D">
        <w:rPr>
          <w:rFonts w:asciiTheme="minorHAnsi" w:hAnsiTheme="minorHAnsi" w:cstheme="minorHAnsi"/>
          <w:sz w:val="22"/>
        </w:rPr>
        <w:t>.</w:t>
      </w:r>
    </w:p>
    <w:p w14:paraId="489A2521" w14:textId="77777777" w:rsidR="00C035D5" w:rsidRDefault="00C035D5">
      <w:pPr>
        <w:rPr>
          <w:rFonts w:asciiTheme="minorHAnsi" w:hAnsiTheme="minorHAnsi" w:cstheme="minorHAnsi"/>
          <w:sz w:val="22"/>
        </w:rPr>
      </w:pPr>
    </w:p>
    <w:p w14:paraId="5C8F50D5" w14:textId="77777777" w:rsidR="00C035D5" w:rsidRDefault="001A1E8E">
      <w:pPr>
        <w:rPr>
          <w:rFonts w:hint="eastAsia"/>
        </w:rPr>
      </w:pPr>
      <w:r>
        <w:br w:type="page" w:clear="all"/>
      </w:r>
    </w:p>
    <w:p w14:paraId="011CE029" w14:textId="19419083" w:rsidR="00C035D5" w:rsidRDefault="001A1E8E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lastRenderedPageBreak/>
        <w:t xml:space="preserve">Определения и сокращения </w:t>
      </w:r>
      <w:r w:rsidR="0090440D" w:rsidRPr="0090440D"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  <w:t>Модуля</w:t>
      </w:r>
    </w:p>
    <w:p w14:paraId="4BD04422" w14:textId="5DE99B53" w:rsidR="00C035D5" w:rsidRPr="0090440D" w:rsidRDefault="001A1E8E">
      <w:pPr>
        <w:jc w:val="both"/>
        <w:rPr>
          <w:rFonts w:asciiTheme="minorHAnsi" w:hAnsiTheme="minorHAnsi" w:cstheme="minorHAnsi"/>
        </w:rPr>
      </w:pPr>
      <w:r w:rsidRPr="0090440D">
        <w:rPr>
          <w:rFonts w:asciiTheme="minorHAnsi" w:hAnsiTheme="minorHAnsi" w:cstheme="minorHAnsi"/>
        </w:rPr>
        <w:t xml:space="preserve">Определения и сокращения </w:t>
      </w:r>
      <w:r w:rsidR="0090440D" w:rsidRPr="0090440D">
        <w:rPr>
          <w:rFonts w:asciiTheme="minorHAnsi" w:hAnsiTheme="minorHAnsi" w:cstheme="minorHAnsi"/>
        </w:rPr>
        <w:t>Модуля</w:t>
      </w:r>
      <w:r w:rsidRPr="0090440D">
        <w:rPr>
          <w:rFonts w:asciiTheme="minorHAnsi" w:hAnsiTheme="minorHAnsi" w:cstheme="minorHAnsi"/>
        </w:rPr>
        <w:t xml:space="preserve"> представлены в </w:t>
      </w:r>
      <w:r w:rsidRPr="0090440D">
        <w:rPr>
          <w:rFonts w:asciiTheme="minorHAnsi" w:hAnsiTheme="minorHAnsi" w:cstheme="minorHAnsi"/>
        </w:rPr>
        <w:fldChar w:fldCharType="begin"/>
      </w:r>
      <w:r w:rsidRPr="0090440D">
        <w:rPr>
          <w:rFonts w:asciiTheme="minorHAnsi" w:hAnsiTheme="minorHAnsi" w:cstheme="minorHAnsi"/>
        </w:rPr>
        <w:instrText xml:space="preserve"> REF _Ref117592003 \h  \* MERGEFORMAT </w:instrText>
      </w:r>
      <w:r w:rsidRPr="0090440D">
        <w:rPr>
          <w:rFonts w:asciiTheme="minorHAnsi" w:hAnsiTheme="minorHAnsi" w:cstheme="minorHAnsi"/>
        </w:rPr>
      </w:r>
      <w:r w:rsidRPr="0090440D">
        <w:rPr>
          <w:rFonts w:asciiTheme="minorHAnsi" w:hAnsiTheme="minorHAnsi" w:cstheme="minorHAnsi"/>
        </w:rPr>
        <w:fldChar w:fldCharType="separate"/>
      </w:r>
      <w:r w:rsidRPr="0090440D">
        <w:rPr>
          <w:rFonts w:asciiTheme="minorHAnsi" w:hAnsiTheme="minorHAnsi" w:cstheme="minorHAnsi"/>
        </w:rPr>
        <w:t>таблице 1</w:t>
      </w:r>
      <w:r w:rsidRPr="0090440D">
        <w:rPr>
          <w:rFonts w:asciiTheme="minorHAnsi" w:hAnsiTheme="minorHAnsi" w:cstheme="minorHAnsi"/>
        </w:rPr>
        <w:fldChar w:fldCharType="end"/>
      </w:r>
      <w:r w:rsidRPr="0090440D">
        <w:rPr>
          <w:rFonts w:asciiTheme="minorHAnsi" w:hAnsiTheme="minorHAnsi" w:cstheme="minorHAnsi"/>
        </w:rPr>
        <w:t>.</w:t>
      </w:r>
    </w:p>
    <w:p w14:paraId="20FEEEC4" w14:textId="2A57F3ED" w:rsidR="00C035D5" w:rsidRPr="0090440D" w:rsidRDefault="001A1E8E">
      <w:pPr>
        <w:pStyle w:val="af9"/>
        <w:keepNext/>
        <w:rPr>
          <w:rFonts w:hint="eastAsia"/>
        </w:rPr>
      </w:pPr>
      <w:bookmarkStart w:id="0" w:name="_Ref117592003"/>
      <w:r>
        <w:rPr>
          <w:rFonts w:hint="eastAsia"/>
        </w:rPr>
        <w:t>Таблица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Таблица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0"/>
      <w:r>
        <w:t xml:space="preserve">. Определения и сокращения </w:t>
      </w:r>
      <w:r w:rsidR="0090440D">
        <w:t>Модуля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C035D5" w:rsidRPr="005B7F17" w14:paraId="456AE05D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8980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EB75" w14:textId="77777777" w:rsidR="00C035D5" w:rsidRPr="005B7F17" w:rsidRDefault="001A1E8E">
            <w:pP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Определение</w:t>
            </w:r>
          </w:p>
        </w:tc>
      </w:tr>
      <w:tr w:rsidR="00C035D5" w:rsidRPr="005B7F17" w14:paraId="69417643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291A" w14:textId="26330B27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Аналитическая</w:t>
            </w:r>
            <w:r w:rsidRPr="00050A02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Б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аза</w:t>
            </w:r>
            <w:r w:rsidRPr="00050A02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Д</w:t>
            </w:r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а</w:t>
            </w:r>
            <w:r w:rsidR="008769BB">
              <w:rPr>
                <w:rFonts w:asciiTheme="minorHAnsi" w:eastAsiaTheme="majorEastAsia" w:hAnsiTheme="minorHAnsi" w:cstheme="minorHAnsi"/>
                <w:sz w:val="22"/>
                <w:szCs w:val="22"/>
              </w:rPr>
              <w:t>нных</w:t>
            </w:r>
            <w:r w:rsidR="008769BB" w:rsidRPr="0030388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A1E8E"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(англ.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91B3" w14:textId="77777777" w:rsidR="00C035D5" w:rsidRPr="005B7F17" w:rsidRDefault="001A1E8E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C035D5" w:rsidRPr="005B7F17" w14:paraId="2B2AFD9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DA75" w14:textId="480BB21E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База данных 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ViQube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867B" w14:textId="08F1B43F" w:rsidR="00C035D5" w:rsidRPr="005B7F17" w:rsidRDefault="005B7F17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Собственная база данных платформы 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Visiology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>, предназначенная для ускорения обработки аналитических запросов.</w:t>
            </w:r>
          </w:p>
        </w:tc>
      </w:tr>
      <w:tr w:rsidR="00C035D5" w:rsidRPr="0090440D" w14:paraId="6D142F4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7832" w14:textId="2AFDA718" w:rsidR="00C035D5" w:rsidRPr="005B7F17" w:rsidRDefault="005B7F17">
            <w:pPr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EBCE" w14:textId="65003E81" w:rsidR="00C035D5" w:rsidRPr="005B7F17" w:rsidRDefault="005B7F17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Модуль платформы 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Visiology</w:t>
            </w:r>
            <w:r w:rsidRPr="005B7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5B4D3F0A" w14:textId="77777777" w:rsidR="00C035D5" w:rsidRDefault="001A1E8E">
      <w:pPr>
        <w:pStyle w:val="1"/>
      </w:pPr>
      <w:r>
        <w:t>Архитектура решения</w:t>
      </w:r>
    </w:p>
    <w:p w14:paraId="3D785C3E" w14:textId="77777777" w:rsidR="00C035D5" w:rsidRDefault="001A1E8E">
      <w:pPr>
        <w:pStyle w:val="2"/>
      </w:pPr>
      <w:r>
        <w:t>Состав компонент</w:t>
      </w:r>
    </w:p>
    <w:p w14:paraId="4D7788CB" w14:textId="28BEA7AD" w:rsidR="00C035D5" w:rsidRPr="00050A02" w:rsidRDefault="00255C66" w:rsidP="00050A02">
      <w:pPr>
        <w:spacing w:line="360" w:lineRule="auto"/>
        <w:rPr>
          <w:rFonts w:asciiTheme="minorHAnsi" w:hAnsiTheme="minorHAnsi" w:cstheme="minorHAnsi"/>
          <w:sz w:val="22"/>
          <w:szCs w:val="21"/>
        </w:rPr>
      </w:pPr>
      <w:r w:rsidRPr="00050A02">
        <w:rPr>
          <w:rFonts w:asciiTheme="minorHAnsi" w:hAnsiTheme="minorHAnsi" w:cstheme="minorHAnsi"/>
          <w:sz w:val="22"/>
          <w:szCs w:val="21"/>
        </w:rPr>
        <w:t>Модуль</w:t>
      </w:r>
      <w:r w:rsidR="001A1E8E" w:rsidRPr="00050A02">
        <w:rPr>
          <w:rFonts w:asciiTheme="minorHAnsi" w:hAnsiTheme="minorHAnsi" w:cstheme="minorHAnsi"/>
          <w:sz w:val="22"/>
          <w:szCs w:val="21"/>
        </w:rPr>
        <w:t xml:space="preserve"> включает в себя следующие </w:t>
      </w:r>
      <w:r w:rsidRPr="00050A02">
        <w:rPr>
          <w:rFonts w:asciiTheme="minorHAnsi" w:hAnsiTheme="minorHAnsi" w:cstheme="minorHAnsi"/>
          <w:sz w:val="22"/>
          <w:szCs w:val="21"/>
        </w:rPr>
        <w:t>разделы</w:t>
      </w:r>
      <w:r w:rsidR="001A1E8E" w:rsidRPr="00050A02">
        <w:rPr>
          <w:rFonts w:asciiTheme="minorHAnsi" w:hAnsiTheme="minorHAnsi" w:cstheme="minorHAnsi"/>
          <w:sz w:val="22"/>
          <w:szCs w:val="21"/>
        </w:rPr>
        <w:t>:</w:t>
      </w:r>
    </w:p>
    <w:p w14:paraId="0A8DD36C" w14:textId="53114908" w:rsidR="00255C66" w:rsidRPr="00050A02" w:rsidRDefault="00255C66" w:rsidP="00050A02">
      <w:pPr>
        <w:pStyle w:val="13"/>
        <w:numPr>
          <w:ilvl w:val="0"/>
          <w:numId w:val="5"/>
        </w:numPr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Загрузочный модуль. </w:t>
      </w:r>
    </w:p>
    <w:p w14:paraId="7DF48536" w14:textId="0F0A9291" w:rsidR="00255C66" w:rsidRDefault="00255C66" w:rsidP="00050A02">
      <w:pPr>
        <w:pStyle w:val="13"/>
        <w:numPr>
          <w:ilvl w:val="0"/>
          <w:numId w:val="5"/>
        </w:numPr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Модуль мониторинга и анализа</w:t>
      </w:r>
      <w:r w:rsid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:</w:t>
      </w:r>
    </w:p>
    <w:p w14:paraId="5D334B9E" w14:textId="7A2D7605" w:rsidR="00C035D5" w:rsidRPr="00303887" w:rsidRDefault="00303887" w:rsidP="00303887">
      <w:pPr>
        <w:pStyle w:val="3"/>
        <w:ind w:left="1134"/>
        <w:rPr>
          <w:rFonts w:asciiTheme="minorHAnsi" w:eastAsia="NSimSun" w:hAnsiTheme="minorHAnsi" w:cstheme="minorHAnsi"/>
          <w:color w:val="auto"/>
          <w:sz w:val="22"/>
        </w:rPr>
      </w:pPr>
      <w:r w:rsidRPr="00303887">
        <w:rPr>
          <w:rFonts w:asciiTheme="minorHAnsi" w:eastAsia="NSimSun" w:hAnsiTheme="minorHAnsi" w:cstheme="minorHAnsi"/>
          <w:color w:val="auto"/>
          <w:sz w:val="22"/>
        </w:rPr>
        <w:t xml:space="preserve">- </w:t>
      </w:r>
      <w:r w:rsidRPr="00303887">
        <w:rPr>
          <w:rFonts w:asciiTheme="minorHAnsi" w:eastAsia="NSimSun" w:hAnsiTheme="minorHAnsi" w:cstheme="minorHAnsi"/>
          <w:color w:val="auto"/>
          <w:sz w:val="22"/>
        </w:rPr>
        <w:t>исполнения бюджета (Электронный бюджет)</w:t>
      </w:r>
      <w:r>
        <w:rPr>
          <w:rFonts w:asciiTheme="minorHAnsi" w:eastAsia="NSimSun" w:hAnsiTheme="minorHAnsi" w:cstheme="minorHAnsi"/>
          <w:color w:val="auto"/>
          <w:sz w:val="22"/>
        </w:rPr>
        <w:t>;</w:t>
      </w:r>
    </w:p>
    <w:p w14:paraId="5736A385" w14:textId="7DCFA06D" w:rsidR="00303887" w:rsidRDefault="00303887" w:rsidP="00303887">
      <w:pPr>
        <w:ind w:left="1134"/>
        <w:rPr>
          <w:rFonts w:asciiTheme="minorHAnsi" w:hAnsiTheme="minorHAnsi" w:cstheme="minorHAnsi"/>
          <w:sz w:val="22"/>
          <w:szCs w:val="21"/>
        </w:rPr>
      </w:pPr>
      <w:r w:rsidRPr="00303887">
        <w:rPr>
          <w:rFonts w:asciiTheme="minorHAnsi" w:hAnsiTheme="minorHAnsi" w:cstheme="minorHAnsi"/>
          <w:sz w:val="22"/>
          <w:szCs w:val="21"/>
        </w:rPr>
        <w:t xml:space="preserve">- </w:t>
      </w:r>
      <w:r w:rsidRPr="00303887">
        <w:rPr>
          <w:rFonts w:asciiTheme="minorHAnsi" w:hAnsiTheme="minorHAnsi" w:cstheme="minorHAnsi"/>
          <w:sz w:val="22"/>
          <w:szCs w:val="21"/>
        </w:rPr>
        <w:t>информации о закупках</w:t>
      </w:r>
      <w:r>
        <w:rPr>
          <w:rFonts w:asciiTheme="minorHAnsi" w:hAnsiTheme="minorHAnsi" w:cstheme="minorHAnsi"/>
          <w:sz w:val="22"/>
          <w:szCs w:val="21"/>
        </w:rPr>
        <w:t>.</w:t>
      </w:r>
    </w:p>
    <w:p w14:paraId="214A7A39" w14:textId="77777777" w:rsidR="00303887" w:rsidRPr="00303887" w:rsidRDefault="00303887" w:rsidP="00303887">
      <w:pPr>
        <w:ind w:left="1134"/>
        <w:rPr>
          <w:rFonts w:asciiTheme="minorHAnsi" w:hAnsiTheme="minorHAnsi" w:cstheme="minorHAnsi"/>
          <w:sz w:val="22"/>
          <w:szCs w:val="21"/>
        </w:rPr>
      </w:pPr>
    </w:p>
    <w:p w14:paraId="13E8CF02" w14:textId="2FB86D59" w:rsidR="00C035D5" w:rsidRDefault="00255C66">
      <w:pPr>
        <w:pStyle w:val="3"/>
      </w:pPr>
      <w:r>
        <w:t>Загрузочный модуль</w:t>
      </w:r>
    </w:p>
    <w:p w14:paraId="37F9FB16" w14:textId="382E4C73" w:rsidR="00303887" w:rsidRPr="00303887" w:rsidRDefault="00303887" w:rsidP="00303887">
      <w:pPr>
        <w:pStyle w:val="17351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Загрузочный модуль включает в себя м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одуль интеграции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, который 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предназначен для загрузки данных из существующих информационных систем. </w:t>
      </w:r>
    </w:p>
    <w:p w14:paraId="0C224327" w14:textId="4813498C" w:rsidR="00303887" w:rsidRPr="00303887" w:rsidRDefault="00303887" w:rsidP="00303887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 рамках проектной настройки модуля интеграции обеспеч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ивается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загрузка данных 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из 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следующих информационных систем:</w:t>
      </w:r>
    </w:p>
    <w:p w14:paraId="1976DF93" w14:textId="77777777" w:rsidR="00303887" w:rsidRPr="00303887" w:rsidRDefault="00303887" w:rsidP="00303887">
      <w:pPr>
        <w:pStyle w:val="aff0"/>
        <w:numPr>
          <w:ilvl w:val="0"/>
          <w:numId w:val="10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интеграция с Единым порталом бюджетной системы Российской Федерации «Электронный бюджет». </w:t>
      </w:r>
    </w:p>
    <w:p w14:paraId="006BCAEB" w14:textId="26F95727" w:rsidR="00303887" w:rsidRPr="00303887" w:rsidRDefault="00303887" w:rsidP="00303887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Информационный обмен обеспечен в соответствии с форматами информационного взаимодействия, указанными на портале «Электронный бюджет» в разделе «Открытые данные».</w:t>
      </w:r>
    </w:p>
    <w:p w14:paraId="42545BE8" w14:textId="77777777" w:rsidR="00303887" w:rsidRPr="00303887" w:rsidRDefault="00303887" w:rsidP="00303887">
      <w:pPr>
        <w:pStyle w:val="aff0"/>
        <w:numPr>
          <w:ilvl w:val="0"/>
          <w:numId w:val="11"/>
        </w:numPr>
        <w:spacing w:before="0" w:beforeAutospacing="0" w:after="0" w:afterAutospacing="0" w:line="360" w:lineRule="auto"/>
        <w:ind w:left="709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Единая информационная система в сфере закупок (ЕИС). </w:t>
      </w:r>
    </w:p>
    <w:p w14:paraId="3956B883" w14:textId="23F184DD" w:rsidR="00303887" w:rsidRPr="00303887" w:rsidRDefault="00303887" w:rsidP="00303887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 рамках модуля реализована функциональность, позволяющая получать следующие данные:</w:t>
      </w:r>
    </w:p>
    <w:p w14:paraId="4EF147BD" w14:textId="77777777" w:rsidR="00303887" w:rsidRPr="00303887" w:rsidRDefault="00303887" w:rsidP="00303887">
      <w:pPr>
        <w:pStyle w:val="aff0"/>
        <w:numPr>
          <w:ilvl w:val="0"/>
          <w:numId w:val="12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Извещения о проведении закупки;</w:t>
      </w:r>
    </w:p>
    <w:p w14:paraId="195A08CF" w14:textId="77777777" w:rsidR="00303887" w:rsidRPr="00303887" w:rsidRDefault="00303887" w:rsidP="00303887">
      <w:pPr>
        <w:pStyle w:val="aff0"/>
        <w:numPr>
          <w:ilvl w:val="0"/>
          <w:numId w:val="12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Контракты на основе закупок;</w:t>
      </w:r>
    </w:p>
    <w:p w14:paraId="2E10BD4D" w14:textId="77777777" w:rsidR="00303887" w:rsidRPr="00303887" w:rsidRDefault="00303887" w:rsidP="00303887">
      <w:pPr>
        <w:pStyle w:val="aff0"/>
        <w:numPr>
          <w:ilvl w:val="0"/>
          <w:numId w:val="12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План-графики закупок;</w:t>
      </w:r>
    </w:p>
    <w:p w14:paraId="533AED1E" w14:textId="77777777" w:rsidR="00303887" w:rsidRPr="00303887" w:rsidRDefault="00303887" w:rsidP="00303887">
      <w:pPr>
        <w:pStyle w:val="aff0"/>
        <w:numPr>
          <w:ilvl w:val="0"/>
          <w:numId w:val="12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Информация об организациях;</w:t>
      </w:r>
    </w:p>
    <w:p w14:paraId="16A76FF1" w14:textId="77777777" w:rsidR="00303887" w:rsidRPr="00303887" w:rsidRDefault="00303887" w:rsidP="00303887">
      <w:pPr>
        <w:pStyle w:val="aff0"/>
        <w:numPr>
          <w:ilvl w:val="0"/>
          <w:numId w:val="12"/>
        </w:numPr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Справочная информация (ОКФС, ОКАТО и т.д.).</w:t>
      </w:r>
    </w:p>
    <w:p w14:paraId="74AE75E4" w14:textId="49596165" w:rsidR="00303887" w:rsidRPr="00303887" w:rsidRDefault="00303887" w:rsidP="00303887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Загружаемые данные 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провер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яются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на соответствие ожидаемым форматам и очища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ются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от дублирующих значений. При поступлении новых данных по закупке/контракту производится 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lastRenderedPageBreak/>
        <w:t>сравнение записей в источнике данных и в БД. Актуальным значением должно считаться значение более поздней версии. Выгрузка данных ЕИС осуществля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ется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ежедневно.</w:t>
      </w:r>
    </w:p>
    <w:p w14:paraId="63ED976C" w14:textId="2350BA0B" w:rsidR="00303887" w:rsidRPr="00303887" w:rsidRDefault="00303887" w:rsidP="00303887">
      <w:pPr>
        <w:pStyle w:val="aff0"/>
        <w:spacing w:before="0" w:beforeAutospacing="0" w:after="0" w:afterAutospacing="0" w:line="360" w:lineRule="auto"/>
        <w:ind w:firstLine="709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3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.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 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И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нтеграция с локальной информационной системой, в которой ведется учет бюджета/закупочной деятельности</w:t>
      </w:r>
    </w:p>
    <w:p w14:paraId="2CD70425" w14:textId="22653BCE" w:rsidR="00303887" w:rsidRPr="00303887" w:rsidRDefault="00303887" w:rsidP="00303887">
      <w:pPr>
        <w:pStyle w:val="aff0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Информационный обмен обеспеч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ивается</w:t>
      </w:r>
      <w:r w:rsidRPr="00303887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в соответствии с форматами информационного взаимодействия, указанными в документации локальной информационной системы.</w:t>
      </w:r>
    </w:p>
    <w:p w14:paraId="50A4A0FA" w14:textId="77777777" w:rsidR="00C035D5" w:rsidRDefault="00C035D5">
      <w:pPr>
        <w:rPr>
          <w:rFonts w:asciiTheme="minorHAnsi" w:hAnsiTheme="minorHAnsi" w:cstheme="minorHAnsi"/>
        </w:rPr>
      </w:pPr>
    </w:p>
    <w:p w14:paraId="56C06A84" w14:textId="20B18695" w:rsidR="00C035D5" w:rsidRDefault="00255C66">
      <w:pPr>
        <w:pStyle w:val="3"/>
      </w:pPr>
      <w:r>
        <w:t>Модуль мониторинга и анализа</w:t>
      </w:r>
    </w:p>
    <w:p w14:paraId="0D451928" w14:textId="67BED6D7" w:rsidR="008769BB" w:rsidRPr="008769BB" w:rsidRDefault="008769BB" w:rsidP="004807F1">
      <w:pPr>
        <w:pStyle w:val="7869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Модуль </w:t>
      </w: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мониторинга и анализа</w:t>
      </w:r>
      <w:r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разбит на разделы:</w:t>
      </w:r>
    </w:p>
    <w:p w14:paraId="2EE2B985" w14:textId="279E4F87" w:rsidR="008769BB" w:rsidRPr="008769BB" w:rsidRDefault="004807F1" w:rsidP="004807F1">
      <w:pPr>
        <w:pStyle w:val="aff0"/>
        <w:numPr>
          <w:ilvl w:val="0"/>
          <w:numId w:val="9"/>
        </w:numPr>
        <w:tabs>
          <w:tab w:val="clear" w:pos="720"/>
          <w:tab w:val="left" w:pos="1418"/>
        </w:tabs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Электронный бюджет</w:t>
      </w:r>
      <w:r w:rsidR="008769BB" w:rsidRPr="008769BB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AF400AD" w14:textId="0F3F3942" w:rsidR="008769BB" w:rsidRPr="008769BB" w:rsidRDefault="004807F1" w:rsidP="004807F1">
      <w:pPr>
        <w:pStyle w:val="aff0"/>
        <w:numPr>
          <w:ilvl w:val="0"/>
          <w:numId w:val="9"/>
        </w:numPr>
        <w:tabs>
          <w:tab w:val="clear" w:pos="720"/>
          <w:tab w:val="left" w:pos="1418"/>
        </w:tabs>
        <w:spacing w:before="0" w:beforeAutospacing="0" w:after="0" w:afterAutospacing="0" w:line="360" w:lineRule="auto"/>
        <w:ind w:firstLine="0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Закупки.</w:t>
      </w:r>
    </w:p>
    <w:p w14:paraId="72C4C24B" w14:textId="007AB75C" w:rsidR="004807F1" w:rsidRPr="004807F1" w:rsidRDefault="004807F1" w:rsidP="004807F1">
      <w:pPr>
        <w:pStyle w:val="13"/>
        <w:spacing w:line="360" w:lineRule="auto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Разделы модуля обеспечивают реализацию следующего функционала</w:t>
      </w:r>
      <w:r w:rsidRPr="004807F1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:</w:t>
      </w:r>
    </w:p>
    <w:p w14:paraId="015EB37B" w14:textId="77777777" w:rsidR="004807F1" w:rsidRPr="004807F1" w:rsidRDefault="004807F1" w:rsidP="004807F1">
      <w:pPr>
        <w:pStyle w:val="13"/>
        <w:spacing w:line="360" w:lineRule="auto"/>
        <w:ind w:left="140" w:firstLine="567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4807F1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•          визуализация данных о качественных и количественных показателях бюджета и закупок объекта мониторинга;</w:t>
      </w:r>
    </w:p>
    <w:p w14:paraId="1FE150B5" w14:textId="280495D8" w:rsidR="004807F1" w:rsidRPr="004807F1" w:rsidRDefault="004807F1" w:rsidP="004807F1">
      <w:pPr>
        <w:pStyle w:val="13"/>
        <w:spacing w:line="360" w:lineRule="auto"/>
        <w:ind w:left="98" w:firstLine="567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4807F1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•          детализация информации о доходной и расходной части бюджета объекта мониторинга, детализация статей бюджета и их динамики;</w:t>
      </w:r>
    </w:p>
    <w:p w14:paraId="735C9E94" w14:textId="52F53AA9" w:rsidR="004807F1" w:rsidRPr="004807F1" w:rsidRDefault="004807F1" w:rsidP="004807F1">
      <w:pPr>
        <w:pStyle w:val="13"/>
        <w:spacing w:line="360" w:lineRule="auto"/>
        <w:ind w:left="98" w:firstLine="567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4807F1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•          детализация информации о доходной и расходной части бюджета в разрезе территории, детализация статей бюджета и их динамики, сравнительный анализ аналогичных объектов;</w:t>
      </w:r>
    </w:p>
    <w:p w14:paraId="05A23758" w14:textId="24D85244" w:rsidR="004807F1" w:rsidRPr="004807F1" w:rsidRDefault="004807F1" w:rsidP="004807F1">
      <w:pPr>
        <w:pStyle w:val="13"/>
        <w:spacing w:line="360" w:lineRule="auto"/>
        <w:ind w:left="98" w:firstLine="567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4807F1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•          детализация информации о гос.долге объекта мониторинга, анализ в разрезе источников формирования долга, сравнительных анализ долговой нагрузки с другими объектами, анализ динамики;</w:t>
      </w:r>
    </w:p>
    <w:p w14:paraId="50F08D57" w14:textId="19D8D19F" w:rsidR="004807F1" w:rsidRDefault="004807F1" w:rsidP="004807F1">
      <w:pPr>
        <w:pStyle w:val="13"/>
        <w:spacing w:line="360" w:lineRule="auto"/>
        <w:ind w:left="98" w:firstLine="567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4807F1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•         качественный и количественный анализ проведения закупок (в т.ч. в соответствии с 44-ФЗ и 223-ФЗ) в разрезе заказчиков, площадок, территорий. Сравнение динамики и выполнения плановых показателей проведений закупок.</w:t>
      </w:r>
    </w:p>
    <w:p w14:paraId="2F486485" w14:textId="77777777" w:rsidR="00C035D5" w:rsidRDefault="001A1E8E">
      <w:pPr>
        <w:pStyle w:val="2"/>
        <w:rPr>
          <w:rFonts w:asciiTheme="minorHAnsi" w:hAnsiTheme="minorHAnsi" w:cstheme="minorHAnsi"/>
        </w:rPr>
      </w:pPr>
      <w:r>
        <w:t>Основные взаимодействия</w:t>
      </w:r>
    </w:p>
    <w:p w14:paraId="07450DC6" w14:textId="77777777" w:rsidR="00C035D5" w:rsidRPr="00050A02" w:rsidRDefault="001A1E8E" w:rsidP="00050A02">
      <w:pPr>
        <w:pStyle w:val="1517"/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На </w: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begin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instrText xml:space="preserve"> REF _Ref117612101 \h  \* MERGEFORMAT </w:instrTex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separate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рисунке 1</w:t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fldChar w:fldCharType="end"/>
      </w: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представлена схема решения и основные взаимодействия между его частями и внешними системами:</w:t>
      </w:r>
    </w:p>
    <w:p w14:paraId="7F2E1508" w14:textId="09E3A27F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Сбор и преобразование данных из различных источников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25E9C546" w14:textId="07137F93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Ручной ввод данных в формы ввода Smart Forms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1441E187" w14:textId="008F3B3D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Передача данных ручного ввода в аналитическую базу данных для преобразования и обогащения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3E75BC61" w14:textId="775267F3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Передача данных ручного ввода Smart Forms в базу данных ViQube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5C8A1E4" w14:textId="272C52BE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Загрузка данных из аналитической базы данных в базу данных ViQube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3CF77AB3" w14:textId="73E42532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Передача группированных и структурированных данных из базы данных ViQube на различные разделы блока визуализации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7D2AFAD1" w14:textId="1BFB7FF0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lastRenderedPageBreak/>
        <w:t>Передача группированных и структурированных данных из базы данных ViQube в настраиваемые регламентные отчеты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74E5234D" w14:textId="60A9F02D" w:rsidR="00C035D5" w:rsidRPr="00050A02" w:rsidRDefault="00CD4495" w:rsidP="00050A02">
      <w:pPr>
        <w:pStyle w:val="151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eastAsia="NSimSun" w:hAnsiTheme="minorHAnsi" w:cstheme="minorHAnsi"/>
          <w:sz w:val="22"/>
          <w:szCs w:val="21"/>
          <w:lang w:eastAsia="zh-CN" w:bidi="hi-IN"/>
        </w:rPr>
      </w:pPr>
      <w:r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Взаимодействие</w:t>
      </w:r>
      <w:r w:rsidR="005B7F17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 xml:space="preserve"> Пользователя с блоками визуализации данных и регламентными отчетами, настройка срезов данных, аналитика данных</w:t>
      </w:r>
      <w:r w:rsidR="001A1E8E" w:rsidRPr="00050A02">
        <w:rPr>
          <w:rFonts w:asciiTheme="minorHAnsi" w:eastAsia="NSimSun" w:hAnsiTheme="minorHAnsi" w:cstheme="minorHAnsi"/>
          <w:sz w:val="22"/>
          <w:szCs w:val="21"/>
          <w:lang w:eastAsia="zh-CN" w:bidi="hi-IN"/>
        </w:rPr>
        <w:t>;</w:t>
      </w:r>
    </w:p>
    <w:p w14:paraId="43AA821A" w14:textId="4A442305" w:rsidR="00C035D5" w:rsidRDefault="00C035D5">
      <w:pPr>
        <w:pStyle w:val="afa"/>
        <w:rPr>
          <w:rFonts w:asciiTheme="minorHAnsi" w:hAnsiTheme="minorHAnsi" w:cstheme="minorHAnsi"/>
        </w:rPr>
      </w:pPr>
    </w:p>
    <w:p w14:paraId="651237D4" w14:textId="0EA100B1" w:rsidR="00EA16E7" w:rsidRPr="00EA16E7" w:rsidRDefault="00EA16E7" w:rsidP="00EA16E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 w:bidi="ar-SA"/>
        </w:rPr>
      </w:pPr>
      <w:r w:rsidRPr="00EA16E7">
        <w:rPr>
          <w:rFonts w:ascii="Times New Roman" w:eastAsia="Times New Roman" w:hAnsi="Times New Roman" w:cs="Times New Roman"/>
          <w:noProof/>
          <w:lang w:eastAsia="ru-RU" w:bidi="ar-SA"/>
        </w:rPr>
        <w:drawing>
          <wp:inline distT="0" distB="0" distL="0" distR="0" wp14:anchorId="2AA3B2E1" wp14:editId="644658D4">
            <wp:extent cx="6631262" cy="18783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258" cy="188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3D098" w14:textId="4B2CC07E" w:rsidR="00C035D5" w:rsidRDefault="001A1E8E">
      <w:pPr>
        <w:pStyle w:val="af9"/>
        <w:rPr>
          <w:rFonts w:hint="eastAsia"/>
        </w:rPr>
      </w:pPr>
      <w:bookmarkStart w:id="1" w:name="_Ref117612101"/>
      <w:r>
        <w:rPr>
          <w:rFonts w:hint="eastAsia"/>
        </w:rPr>
        <w:t>Рисунок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Рисунок</w:instrText>
      </w:r>
      <w:r>
        <w:rPr>
          <w:rFonts w:hint="eastAsia"/>
        </w:rPr>
        <w:instrText xml:space="preserve">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bookmarkEnd w:id="1"/>
      <w:r>
        <w:t>. Архитектура решения</w:t>
      </w:r>
    </w:p>
    <w:p w14:paraId="0EE18AE7" w14:textId="7D9A6D52" w:rsidR="00CD4495" w:rsidRDefault="00CD4495">
      <w:pPr>
        <w:pStyle w:val="af9"/>
        <w:rPr>
          <w:rFonts w:hint="eastAsia"/>
        </w:rPr>
      </w:pPr>
    </w:p>
    <w:p w14:paraId="2860E5D7" w14:textId="6BC319D6" w:rsidR="00CD4495" w:rsidRDefault="00CD4495">
      <w:pPr>
        <w:pStyle w:val="af9"/>
        <w:rPr>
          <w:rFonts w:asciiTheme="minorHAnsi" w:hAnsiTheme="minorHAnsi" w:cstheme="minorHAnsi"/>
          <w:sz w:val="22"/>
        </w:rPr>
      </w:pPr>
    </w:p>
    <w:sectPr w:rsidR="00CD449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017B" w14:textId="77777777" w:rsidR="0048058B" w:rsidRDefault="0048058B">
      <w:pPr>
        <w:rPr>
          <w:rFonts w:hint="eastAsia"/>
        </w:rPr>
      </w:pPr>
      <w:r>
        <w:separator/>
      </w:r>
    </w:p>
  </w:endnote>
  <w:endnote w:type="continuationSeparator" w:id="0">
    <w:p w14:paraId="0BB76E94" w14:textId="77777777" w:rsidR="0048058B" w:rsidRDefault="004805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CE05" w14:textId="77777777" w:rsidR="0048058B" w:rsidRDefault="004805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BDC2B3" w14:textId="77777777" w:rsidR="0048058B" w:rsidRDefault="004805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8AF"/>
    <w:multiLevelType w:val="hybridMultilevel"/>
    <w:tmpl w:val="F65EF848"/>
    <w:lvl w:ilvl="0" w:tplc="75CA675C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98022BE2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D5B639EA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30602F90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732DFCC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41E0911C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85C0975E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6CD470FC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CDD62884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DAC2C10"/>
    <w:multiLevelType w:val="multilevel"/>
    <w:tmpl w:val="50B8F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50800"/>
    <w:multiLevelType w:val="hybridMultilevel"/>
    <w:tmpl w:val="2F00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5326"/>
    <w:multiLevelType w:val="hybridMultilevel"/>
    <w:tmpl w:val="BBCCF8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1EE22FD"/>
    <w:multiLevelType w:val="multilevel"/>
    <w:tmpl w:val="1BD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361A3"/>
    <w:multiLevelType w:val="multilevel"/>
    <w:tmpl w:val="F65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A6DC9"/>
    <w:multiLevelType w:val="hybridMultilevel"/>
    <w:tmpl w:val="096CCAF8"/>
    <w:lvl w:ilvl="0" w:tplc="0994F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C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EC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6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CD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7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E6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0335E"/>
    <w:multiLevelType w:val="hybridMultilevel"/>
    <w:tmpl w:val="A9B2B136"/>
    <w:lvl w:ilvl="0" w:tplc="D7683C54">
      <w:start w:val="1"/>
      <w:numFmt w:val="decimal"/>
      <w:lvlText w:val="%1."/>
      <w:lvlJc w:val="left"/>
      <w:pPr>
        <w:ind w:left="720" w:hanging="360"/>
      </w:pPr>
    </w:lvl>
    <w:lvl w:ilvl="1" w:tplc="DE5AB57E">
      <w:start w:val="1"/>
      <w:numFmt w:val="lowerLetter"/>
      <w:lvlText w:val="%2."/>
      <w:lvlJc w:val="left"/>
      <w:pPr>
        <w:ind w:left="1440" w:hanging="360"/>
      </w:pPr>
    </w:lvl>
    <w:lvl w:ilvl="2" w:tplc="15BE717A">
      <w:start w:val="1"/>
      <w:numFmt w:val="lowerRoman"/>
      <w:lvlText w:val="%3."/>
      <w:lvlJc w:val="right"/>
      <w:pPr>
        <w:ind w:left="2160" w:hanging="180"/>
      </w:pPr>
    </w:lvl>
    <w:lvl w:ilvl="3" w:tplc="BBFC2B7E">
      <w:start w:val="1"/>
      <w:numFmt w:val="decimal"/>
      <w:lvlText w:val="%4."/>
      <w:lvlJc w:val="left"/>
      <w:pPr>
        <w:ind w:left="2880" w:hanging="360"/>
      </w:pPr>
    </w:lvl>
    <w:lvl w:ilvl="4" w:tplc="0922BB74">
      <w:start w:val="1"/>
      <w:numFmt w:val="lowerLetter"/>
      <w:lvlText w:val="%5."/>
      <w:lvlJc w:val="left"/>
      <w:pPr>
        <w:ind w:left="3600" w:hanging="360"/>
      </w:pPr>
    </w:lvl>
    <w:lvl w:ilvl="5" w:tplc="E3EECEFC">
      <w:start w:val="1"/>
      <w:numFmt w:val="lowerRoman"/>
      <w:lvlText w:val="%6."/>
      <w:lvlJc w:val="right"/>
      <w:pPr>
        <w:ind w:left="4320" w:hanging="180"/>
      </w:pPr>
    </w:lvl>
    <w:lvl w:ilvl="6" w:tplc="19E822CA">
      <w:start w:val="1"/>
      <w:numFmt w:val="decimal"/>
      <w:lvlText w:val="%7."/>
      <w:lvlJc w:val="left"/>
      <w:pPr>
        <w:ind w:left="5040" w:hanging="360"/>
      </w:pPr>
    </w:lvl>
    <w:lvl w:ilvl="7" w:tplc="02CE0FD6">
      <w:start w:val="1"/>
      <w:numFmt w:val="lowerLetter"/>
      <w:lvlText w:val="%8."/>
      <w:lvlJc w:val="left"/>
      <w:pPr>
        <w:ind w:left="5760" w:hanging="360"/>
      </w:pPr>
    </w:lvl>
    <w:lvl w:ilvl="8" w:tplc="D9D68B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E2C61"/>
    <w:multiLevelType w:val="hybridMultilevel"/>
    <w:tmpl w:val="8DF09690"/>
    <w:lvl w:ilvl="0" w:tplc="A61A9FA4">
      <w:start w:val="1"/>
      <w:numFmt w:val="decimal"/>
      <w:lvlText w:val="%1."/>
      <w:lvlJc w:val="left"/>
      <w:pPr>
        <w:ind w:left="720" w:hanging="360"/>
      </w:pPr>
    </w:lvl>
    <w:lvl w:ilvl="1" w:tplc="00889E6C">
      <w:start w:val="1"/>
      <w:numFmt w:val="lowerLetter"/>
      <w:lvlText w:val="%2."/>
      <w:lvlJc w:val="left"/>
      <w:pPr>
        <w:ind w:left="1440" w:hanging="360"/>
      </w:pPr>
    </w:lvl>
    <w:lvl w:ilvl="2" w:tplc="FEF0EBD0">
      <w:start w:val="1"/>
      <w:numFmt w:val="lowerRoman"/>
      <w:lvlText w:val="%3."/>
      <w:lvlJc w:val="right"/>
      <w:pPr>
        <w:ind w:left="2160" w:hanging="180"/>
      </w:pPr>
    </w:lvl>
    <w:lvl w:ilvl="3" w:tplc="3468D2BC">
      <w:start w:val="1"/>
      <w:numFmt w:val="decimal"/>
      <w:lvlText w:val="%4."/>
      <w:lvlJc w:val="left"/>
      <w:pPr>
        <w:ind w:left="2880" w:hanging="360"/>
      </w:pPr>
    </w:lvl>
    <w:lvl w:ilvl="4" w:tplc="2F7644A2">
      <w:start w:val="1"/>
      <w:numFmt w:val="lowerLetter"/>
      <w:lvlText w:val="%5."/>
      <w:lvlJc w:val="left"/>
      <w:pPr>
        <w:ind w:left="3600" w:hanging="360"/>
      </w:pPr>
    </w:lvl>
    <w:lvl w:ilvl="5" w:tplc="8E3882BC">
      <w:start w:val="1"/>
      <w:numFmt w:val="lowerRoman"/>
      <w:lvlText w:val="%6."/>
      <w:lvlJc w:val="right"/>
      <w:pPr>
        <w:ind w:left="4320" w:hanging="180"/>
      </w:pPr>
    </w:lvl>
    <w:lvl w:ilvl="6" w:tplc="F8CE8346">
      <w:start w:val="1"/>
      <w:numFmt w:val="decimal"/>
      <w:lvlText w:val="%7."/>
      <w:lvlJc w:val="left"/>
      <w:pPr>
        <w:ind w:left="5040" w:hanging="360"/>
      </w:pPr>
    </w:lvl>
    <w:lvl w:ilvl="7" w:tplc="8200A148">
      <w:start w:val="1"/>
      <w:numFmt w:val="lowerLetter"/>
      <w:lvlText w:val="%8."/>
      <w:lvlJc w:val="left"/>
      <w:pPr>
        <w:ind w:left="5760" w:hanging="360"/>
      </w:pPr>
    </w:lvl>
    <w:lvl w:ilvl="8" w:tplc="B22AAA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F780F"/>
    <w:multiLevelType w:val="multilevel"/>
    <w:tmpl w:val="6F6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74B78"/>
    <w:multiLevelType w:val="hybridMultilevel"/>
    <w:tmpl w:val="E242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3294D"/>
    <w:multiLevelType w:val="multilevel"/>
    <w:tmpl w:val="71EC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D5"/>
    <w:rsid w:val="00050A02"/>
    <w:rsid w:val="00104AC3"/>
    <w:rsid w:val="00196405"/>
    <w:rsid w:val="001A1E8E"/>
    <w:rsid w:val="001A7C1B"/>
    <w:rsid w:val="00255C66"/>
    <w:rsid w:val="00303887"/>
    <w:rsid w:val="003D1019"/>
    <w:rsid w:val="0048058B"/>
    <w:rsid w:val="004807F1"/>
    <w:rsid w:val="005B7F17"/>
    <w:rsid w:val="007E108A"/>
    <w:rsid w:val="007F2000"/>
    <w:rsid w:val="008769BB"/>
    <w:rsid w:val="0090440D"/>
    <w:rsid w:val="00C035D5"/>
    <w:rsid w:val="00C31BD8"/>
    <w:rsid w:val="00CD4495"/>
    <w:rsid w:val="00EA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FD3"/>
  <w15:docId w15:val="{E274E46D-A715-4F9C-ACB0-1F0286F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Heading"/>
    <w:next w:val="Textbody"/>
    <w:link w:val="20"/>
    <w:pPr>
      <w:spacing w:before="200"/>
      <w:outlineLvl w:val="1"/>
    </w:pPr>
    <w:rPr>
      <w:rFonts w:asciiTheme="majorHAnsi" w:hAnsiTheme="majorHAnsi"/>
      <w:bCs/>
      <w:color w:val="2E74B5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8">
    <w:name w:val="List"/>
    <w:basedOn w:val="Textbody"/>
  </w:style>
  <w:style w:type="paragraph" w:styleId="af9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link w:val="afd"/>
    <w:rPr>
      <w:rFonts w:ascii="Times New Roman" w:eastAsia="Times New Roman" w:hAnsi="Times New Roman" w:cs="Arial"/>
      <w:sz w:val="20"/>
      <w:szCs w:val="20"/>
      <w:lang w:eastAsia="ru-RU" w:bidi="ar-SA"/>
    </w:rPr>
  </w:style>
  <w:style w:type="character" w:customStyle="1" w:styleId="afd">
    <w:name w:val="Текст примечания Знак"/>
    <w:basedOn w:val="a0"/>
    <w:link w:val="afc"/>
    <w:rPr>
      <w:rFonts w:ascii="Times New Roman" w:eastAsia="Times New Roman" w:hAnsi="Times New Roman" w:cs="Arial"/>
      <w:sz w:val="20"/>
      <w:szCs w:val="20"/>
      <w:lang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/>
      <w:sz w:val="18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customStyle="1" w:styleId="13">
    <w:name w:val="Обычный1"/>
    <w:uiPriority w:val="99"/>
    <w:rsid w:val="00255C66"/>
    <w:rPr>
      <w:rFonts w:ascii="Times New Roman" w:eastAsia="Times New Roman" w:hAnsi="Times New Roman" w:cs="Times New Roman"/>
      <w:lang w:eastAsia="ru-RU" w:bidi="ar-SA"/>
    </w:rPr>
  </w:style>
  <w:style w:type="character" w:customStyle="1" w:styleId="docdata">
    <w:name w:val="docdata"/>
    <w:aliases w:val="docy,v5,3480,bqiaagaaeyqcaaagiaiaaampcgaabtckaaaaaaaaaaaaaaaaaaaaaaaaaaaaaaaaaaaaaaaaaaaaaaaaaaaaaaaaaaaaaaaaaaaaaaaaaaaaaaaaaaaaaaaaaaaaaaaaaaaaaaaaaaaaaaaaaaaaaaaaaaaaaaaaaaaaaaaaaaaaaaaaaaaaaaaaaaaaaaaaaaaaaaaaaaaaaaaaaaaaaaaaaaaaaaaaaaaaaaaa"/>
    <w:basedOn w:val="a0"/>
    <w:rsid w:val="00255C66"/>
  </w:style>
  <w:style w:type="paragraph" w:customStyle="1" w:styleId="1517">
    <w:name w:val="1517"/>
    <w:aliases w:val="bqiaagaaeyqcaaagiaiaaap/baaabq0faaaaaaaaaaaaaaaaaaaaaaaaaaaaaaaaaaaaaaaaaaaaaaaaaaaaaaaaaaaaaaaaaaaaaaaaaaaaaaaaaaaaaaaaaaaaaaaaaaaaaaaaaaaaaaaaaaaaaaaaaaaaaaaaaaaaaaaaaaaaaaaaaaaaaaaaaaaaaaaaaaaaaaaaaaaaaaaaaaaaaaaaaaaaaaaaaaaaaaaa"/>
    <w:basedOn w:val="a"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5250">
    <w:name w:val="5250"/>
    <w:aliases w:val="bqiaagaaeyqcaaagiaiaaamteqaabseraaaaaaaaaaaaaaaaaaaaaaaaaaaaaaaaaaaaaaaaaaaaaaaaaaaaaaaaaaaaaaaaaaaaaaaaaaaaaaaaaaaaaaaaaaaaaaaaaaaaaaaaaaaaaaaaaaaaaaaaaaaaaaaaaaaaaaaaaaaaaaaaaaaaaaaaaaaaaaaaaaaaaaaaaaaaaaaaaaaaaaaaaaaaaaaaaaaaaaaa"/>
    <w:basedOn w:val="a"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f0">
    <w:name w:val="Normal (Web)"/>
    <w:basedOn w:val="a"/>
    <w:uiPriority w:val="99"/>
    <w:semiHidden/>
    <w:unhideWhenUsed/>
    <w:rsid w:val="0005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11091">
    <w:name w:val="11091"/>
    <w:aliases w:val="bqiaagaaeyqcaaagiaiaaamhhgaabxgjaaaaaaaaaaaaaaaaaaaaaaaaaaaaaaaaaaaaaaaaaaaaaaaaaaaaaaaaaaaaaaaaaaaaaaaaaaaaaaaaaaaaaaaaaaaaaaaaaaaaaaaaaaaaaaaaaaaaaaaaaaaaaaaaaaaaaaaaaaaaaaaaaaaaaaaaaaaaaaaaaaaaaaaaaaaaaaaaaaaaaaaaaaaaaaaaaaaaaaa"/>
    <w:basedOn w:val="a"/>
    <w:rsid w:val="00876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7869">
    <w:name w:val="7869"/>
    <w:aliases w:val="bqiaagaaeyqcaaagiaiaaaoyewaabzizaaaaaaaaaaaaaaaaaaaaaaaaaaaaaaaaaaaaaaaaaaaaaaaaaaaaaaaaaaaaaaaaaaaaaaaaaaaaaaaaaaaaaaaaaaaaaaaaaaaaaaaaaaaaaaaaaaaaaaaaaaaaaaaaaaaaaaaaaaaaaaaaaaaaaaaaaaaaaaaaaaaaaaaaaaaaaaaaaaaaaaaaaaaaaaaaaaaaaaaa"/>
    <w:basedOn w:val="a"/>
    <w:rsid w:val="00876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17351">
    <w:name w:val="17351"/>
    <w:aliases w:val="bqiaagaaeb4oaaagwg4aaankmgaabew7aaaaaaaaaaaaaaaaaaaaaaaaaaaaaaaaaaaaaaaaaaaaaaaaaaaaaaaaaaaaaaaaaaaaaaaaaaaaaaaaaaaaaaaaaaaaaaaaaaaaaaaaaaaaaaaaaaaaaaaaaaaaaaaaaaaaaaaaaaaaaaaaaaaaaaaaaaaaaaaaaaaaaaaaaaaaaaaaaaaaaaaaaaaaaaaaaaaaaaa"/>
    <w:basedOn w:val="a"/>
    <w:rsid w:val="003038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4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7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5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6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0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3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8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3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E6C0F-5423-46A4-9CEF-AECE3FBE2990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2.xml><?xml version="1.0" encoding="utf-8"?>
<ds:datastoreItem xmlns:ds="http://schemas.openxmlformats.org/officeDocument/2006/customXml" ds:itemID="{79B1F2D0-2D73-4AD7-B741-9C27E7597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95972-7226-41FB-8A41-E2EDE0434E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2F8959-6C64-4DDE-BCA0-2041EBA06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Ayrat Zinatullin</cp:lastModifiedBy>
  <cp:revision>8</cp:revision>
  <dcterms:created xsi:type="dcterms:W3CDTF">2022-05-19T13:27:00Z</dcterms:created>
  <dcterms:modified xsi:type="dcterms:W3CDTF">2024-04-12T09:28:00Z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