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F244E" w14:textId="435A3CDF" w:rsidR="00C035D5" w:rsidRPr="00C31BD8" w:rsidRDefault="001A1E8E">
      <w:pPr>
        <w:pStyle w:val="1"/>
        <w:rPr>
          <w:rFonts w:eastAsia="SimSun"/>
        </w:rPr>
      </w:pPr>
      <w:r>
        <w:t>Описание функциональных возможностей</w:t>
      </w:r>
      <w:r w:rsidR="00C31BD8">
        <w:t xml:space="preserve"> </w:t>
      </w:r>
      <w:r w:rsidR="00FF4DEA">
        <w:t>ИАС СЦ.</w:t>
      </w:r>
      <w:r w:rsidR="00C31BD8">
        <w:t xml:space="preserve"> Контроль исполнительской дисциплины и оценки эффективности деятельности</w:t>
      </w:r>
      <w:r>
        <w:t xml:space="preserve"> </w:t>
      </w:r>
    </w:p>
    <w:p w14:paraId="4C009436" w14:textId="77777777" w:rsidR="00C035D5" w:rsidRDefault="001A1E8E">
      <w:pPr>
        <w:rPr>
          <w:rFonts w:asciiTheme="majorHAnsi" w:eastAsiaTheme="majorEastAsia" w:hAnsiTheme="majorHAnsi"/>
          <w:color w:val="2E74B5" w:themeColor="accent1" w:themeShade="BF"/>
          <w:sz w:val="32"/>
          <w:szCs w:val="29"/>
        </w:rPr>
      </w:pPr>
      <w:r>
        <w:br w:type="page" w:clear="all"/>
      </w:r>
    </w:p>
    <w:p w14:paraId="4D42A738" w14:textId="4240D72E" w:rsidR="00C035D5" w:rsidRDefault="00FF4DEA">
      <w:pPr>
        <w:pStyle w:val="1"/>
      </w:pPr>
      <w:r>
        <w:lastRenderedPageBreak/>
        <w:t xml:space="preserve">ИАС СЦ. </w:t>
      </w:r>
      <w:r w:rsidR="00C31BD8">
        <w:t>Контроль исполнительской дисциплины и оценки эффективности деятельности</w:t>
      </w:r>
    </w:p>
    <w:p w14:paraId="1115F3C0" w14:textId="4C8BDD4C" w:rsidR="00C035D5" w:rsidRDefault="00C31BD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Модуль – </w:t>
      </w:r>
      <w:r w:rsidR="00FF4DEA" w:rsidRPr="00FF4DEA">
        <w:rPr>
          <w:rFonts w:asciiTheme="minorHAnsi" w:hAnsiTheme="minorHAnsi" w:cstheme="minorHAnsi"/>
          <w:sz w:val="22"/>
          <w:szCs w:val="22"/>
        </w:rPr>
        <w:t>ИАС СЦ.</w:t>
      </w:r>
      <w:r w:rsidR="00FF4DEA">
        <w:t xml:space="preserve"> </w:t>
      </w:r>
      <w:r>
        <w:rPr>
          <w:rFonts w:asciiTheme="minorHAnsi" w:hAnsiTheme="minorHAnsi" w:cstheme="minorHAnsi"/>
          <w:sz w:val="22"/>
          <w:szCs w:val="22"/>
        </w:rPr>
        <w:t>Контроль исполнительской дисциплины и оценки эффективности деятельности</w:t>
      </w:r>
      <w:r w:rsidR="001A1E8E">
        <w:rPr>
          <w:rFonts w:asciiTheme="minorHAnsi" w:hAnsiTheme="minorHAnsi" w:cstheme="minorHAnsi"/>
          <w:sz w:val="22"/>
          <w:szCs w:val="22"/>
        </w:rPr>
        <w:t xml:space="preserve"> (далее — </w:t>
      </w:r>
      <w:r>
        <w:rPr>
          <w:rFonts w:asciiTheme="minorHAnsi" w:hAnsiTheme="minorHAnsi" w:cstheme="minorHAnsi"/>
          <w:sz w:val="22"/>
          <w:szCs w:val="22"/>
        </w:rPr>
        <w:t>Модуль</w:t>
      </w:r>
      <w:r w:rsidR="001A1E8E">
        <w:rPr>
          <w:rFonts w:asciiTheme="minorHAnsi" w:hAnsiTheme="minorHAnsi" w:cstheme="minorHAnsi"/>
          <w:sz w:val="22"/>
          <w:szCs w:val="22"/>
        </w:rPr>
        <w:t xml:space="preserve">) – </w:t>
      </w:r>
      <w:r w:rsidRPr="00C31BD8">
        <w:rPr>
          <w:rFonts w:asciiTheme="minorHAnsi" w:hAnsiTheme="minorHAnsi" w:cstheme="minorHAnsi"/>
          <w:sz w:val="22"/>
          <w:szCs w:val="22"/>
        </w:rPr>
        <w:t>это решение позволяющее осуществлять контроль и мониторинг выполнения поручений, приказов, распоряжений исходящих от вышестоящих органов власти любого уровня в отношении нижестоящих органов власти.</w:t>
      </w:r>
    </w:p>
    <w:p w14:paraId="1852F444" w14:textId="77777777" w:rsidR="00C31BD8" w:rsidRDefault="001A1E8E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Модуль представляет собой </w:t>
      </w:r>
      <w:r w:rsidR="00C31BD8">
        <w:rPr>
          <w:rFonts w:asciiTheme="minorHAnsi" w:hAnsiTheme="minorHAnsi" w:cstheme="minorHAnsi"/>
          <w:sz w:val="22"/>
        </w:rPr>
        <w:t>набор решений, позволяющих собирать необходимые данные, структурировать и преобразовывать их, визуализировать полученные данные в формате информационно-аналитических панелей с использованием разнообразных инструментов визуализации данных, управлять отображаемым набором данных с использованием визуальных элементов управления</w:t>
      </w:r>
      <w:r>
        <w:rPr>
          <w:rFonts w:asciiTheme="minorHAnsi" w:hAnsiTheme="minorHAnsi" w:cstheme="minorHAnsi"/>
          <w:sz w:val="22"/>
        </w:rPr>
        <w:t>.</w:t>
      </w:r>
    </w:p>
    <w:p w14:paraId="1234CF84" w14:textId="761F10B7" w:rsidR="00C035D5" w:rsidRDefault="00C31BD8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Модуль</w:t>
      </w:r>
      <w:r w:rsidR="001A1E8E">
        <w:rPr>
          <w:rFonts w:asciiTheme="minorHAnsi" w:hAnsiTheme="minorHAnsi" w:cstheme="minorHAnsi"/>
          <w:sz w:val="22"/>
        </w:rPr>
        <w:t xml:space="preserve"> позволяет управлять следующей функциональностью:</w:t>
      </w:r>
    </w:p>
    <w:p w14:paraId="0F09A85D" w14:textId="77777777" w:rsidR="00C035D5" w:rsidRDefault="001A1E8E">
      <w:pPr>
        <w:pStyle w:val="afa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сбор данных из разных источников:</w:t>
      </w:r>
    </w:p>
    <w:p w14:paraId="008CAE1D" w14:textId="77777777" w:rsidR="00C035D5" w:rsidRDefault="001A1E8E">
      <w:pPr>
        <w:pStyle w:val="afa"/>
        <w:numPr>
          <w:ilvl w:val="1"/>
          <w:numId w:val="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файлы</w:t>
      </w:r>
    </w:p>
    <w:p w14:paraId="30003619" w14:textId="77777777" w:rsidR="00C035D5" w:rsidRDefault="001A1E8E">
      <w:pPr>
        <w:pStyle w:val="afa"/>
        <w:numPr>
          <w:ilvl w:val="1"/>
          <w:numId w:val="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внешние системы</w:t>
      </w:r>
    </w:p>
    <w:p w14:paraId="13283354" w14:textId="20D143A7" w:rsidR="00C035D5" w:rsidRDefault="001A1E8E">
      <w:pPr>
        <w:pStyle w:val="afa"/>
        <w:numPr>
          <w:ilvl w:val="1"/>
          <w:numId w:val="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базы данных</w:t>
      </w:r>
    </w:p>
    <w:p w14:paraId="171D2B39" w14:textId="28F580DB" w:rsidR="00C31BD8" w:rsidRDefault="00C31BD8">
      <w:pPr>
        <w:pStyle w:val="afa"/>
        <w:numPr>
          <w:ilvl w:val="1"/>
          <w:numId w:val="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ручной ввод данных</w:t>
      </w:r>
    </w:p>
    <w:p w14:paraId="0845DF1E" w14:textId="12F6DB8C" w:rsidR="00C035D5" w:rsidRDefault="00C31BD8">
      <w:pPr>
        <w:pStyle w:val="afa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структурирование, группировка, преобразование полученных данных</w:t>
      </w:r>
      <w:r w:rsidR="001A1E8E">
        <w:rPr>
          <w:rFonts w:asciiTheme="minorHAnsi" w:hAnsiTheme="minorHAnsi" w:cstheme="minorHAnsi"/>
          <w:sz w:val="22"/>
        </w:rPr>
        <w:t>;</w:t>
      </w:r>
    </w:p>
    <w:p w14:paraId="2351414F" w14:textId="619236BF" w:rsidR="00C31BD8" w:rsidRDefault="00C31BD8">
      <w:pPr>
        <w:pStyle w:val="afa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создание структуры хранения данных;</w:t>
      </w:r>
    </w:p>
    <w:p w14:paraId="414B3439" w14:textId="5C7784F9" w:rsidR="007F2000" w:rsidRDefault="007F2000">
      <w:pPr>
        <w:pStyle w:val="afa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настройка периодичности обновления данных;</w:t>
      </w:r>
    </w:p>
    <w:p w14:paraId="7B8D4990" w14:textId="1A282DFB" w:rsidR="00C035D5" w:rsidRDefault="007F2000">
      <w:pPr>
        <w:pStyle w:val="afa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визуализация данных</w:t>
      </w:r>
      <w:r w:rsidR="001A1E8E">
        <w:rPr>
          <w:rFonts w:asciiTheme="minorHAnsi" w:hAnsiTheme="minorHAnsi" w:cstheme="minorHAnsi"/>
          <w:sz w:val="22"/>
        </w:rPr>
        <w:t>;</w:t>
      </w:r>
    </w:p>
    <w:p w14:paraId="61DBCED1" w14:textId="5F54C2FE" w:rsidR="00C035D5" w:rsidRPr="0090440D" w:rsidRDefault="0090440D" w:rsidP="0090440D">
      <w:pPr>
        <w:pStyle w:val="afa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настройка регламентных отчетов и пользовательской аналитики</w:t>
      </w:r>
      <w:r w:rsidR="001A1E8E" w:rsidRPr="0090440D">
        <w:rPr>
          <w:rFonts w:asciiTheme="minorHAnsi" w:hAnsiTheme="minorHAnsi" w:cstheme="minorHAnsi"/>
          <w:sz w:val="22"/>
        </w:rPr>
        <w:t>.</w:t>
      </w:r>
    </w:p>
    <w:p w14:paraId="489A2521" w14:textId="77777777" w:rsidR="00C035D5" w:rsidRDefault="00C035D5">
      <w:pPr>
        <w:rPr>
          <w:rFonts w:asciiTheme="minorHAnsi" w:hAnsiTheme="minorHAnsi" w:cstheme="minorHAnsi"/>
          <w:sz w:val="22"/>
        </w:rPr>
      </w:pPr>
    </w:p>
    <w:p w14:paraId="5C8F50D5" w14:textId="77777777" w:rsidR="00C035D5" w:rsidRDefault="001A1E8E">
      <w:pPr>
        <w:rPr>
          <w:rFonts w:hint="eastAsia"/>
        </w:rPr>
      </w:pPr>
      <w:r>
        <w:br w:type="page" w:clear="all"/>
      </w:r>
    </w:p>
    <w:p w14:paraId="011CE029" w14:textId="19419083" w:rsidR="00C035D5" w:rsidRDefault="001A1E8E">
      <w:pPr>
        <w:rPr>
          <w:rFonts w:asciiTheme="majorHAnsi" w:eastAsiaTheme="majorEastAsia" w:hAnsiTheme="majorHAnsi"/>
          <w:color w:val="2E74B5" w:themeColor="accent1" w:themeShade="BF"/>
          <w:sz w:val="32"/>
          <w:szCs w:val="29"/>
        </w:rPr>
      </w:pPr>
      <w:r>
        <w:rPr>
          <w:rFonts w:asciiTheme="majorHAnsi" w:eastAsiaTheme="majorEastAsia" w:hAnsiTheme="majorHAnsi"/>
          <w:color w:val="2E74B5" w:themeColor="accent1" w:themeShade="BF"/>
          <w:sz w:val="32"/>
          <w:szCs w:val="29"/>
        </w:rPr>
        <w:lastRenderedPageBreak/>
        <w:t xml:space="preserve">Определения и сокращения </w:t>
      </w:r>
      <w:r w:rsidR="0090440D" w:rsidRPr="0090440D">
        <w:rPr>
          <w:rFonts w:asciiTheme="majorHAnsi" w:eastAsiaTheme="majorEastAsia" w:hAnsiTheme="majorHAnsi"/>
          <w:color w:val="2E74B5" w:themeColor="accent1" w:themeShade="BF"/>
          <w:sz w:val="32"/>
          <w:szCs w:val="29"/>
        </w:rPr>
        <w:t>Модуля</w:t>
      </w:r>
    </w:p>
    <w:p w14:paraId="4BD04422" w14:textId="5DE99B53" w:rsidR="00C035D5" w:rsidRPr="0090440D" w:rsidRDefault="001A1E8E">
      <w:pPr>
        <w:jc w:val="both"/>
        <w:rPr>
          <w:rFonts w:asciiTheme="minorHAnsi" w:hAnsiTheme="minorHAnsi" w:cstheme="minorHAnsi"/>
        </w:rPr>
      </w:pPr>
      <w:r w:rsidRPr="0090440D">
        <w:rPr>
          <w:rFonts w:asciiTheme="minorHAnsi" w:hAnsiTheme="minorHAnsi" w:cstheme="minorHAnsi"/>
        </w:rPr>
        <w:t xml:space="preserve">Определения и сокращения </w:t>
      </w:r>
      <w:r w:rsidR="0090440D" w:rsidRPr="0090440D">
        <w:rPr>
          <w:rFonts w:asciiTheme="minorHAnsi" w:hAnsiTheme="minorHAnsi" w:cstheme="minorHAnsi"/>
        </w:rPr>
        <w:t>Модуля</w:t>
      </w:r>
      <w:r w:rsidRPr="0090440D">
        <w:rPr>
          <w:rFonts w:asciiTheme="minorHAnsi" w:hAnsiTheme="minorHAnsi" w:cstheme="minorHAnsi"/>
        </w:rPr>
        <w:t xml:space="preserve"> представлены в </w:t>
      </w:r>
      <w:r w:rsidRPr="0090440D">
        <w:rPr>
          <w:rFonts w:asciiTheme="minorHAnsi" w:hAnsiTheme="minorHAnsi" w:cstheme="minorHAnsi"/>
        </w:rPr>
        <w:fldChar w:fldCharType="begin"/>
      </w:r>
      <w:r w:rsidRPr="0090440D">
        <w:rPr>
          <w:rFonts w:asciiTheme="minorHAnsi" w:hAnsiTheme="minorHAnsi" w:cstheme="minorHAnsi"/>
        </w:rPr>
        <w:instrText xml:space="preserve"> REF _Ref117592003 \h  \* MERGEFORMAT </w:instrText>
      </w:r>
      <w:r w:rsidRPr="0090440D">
        <w:rPr>
          <w:rFonts w:asciiTheme="minorHAnsi" w:hAnsiTheme="minorHAnsi" w:cstheme="minorHAnsi"/>
        </w:rPr>
      </w:r>
      <w:r w:rsidRPr="0090440D">
        <w:rPr>
          <w:rFonts w:asciiTheme="minorHAnsi" w:hAnsiTheme="minorHAnsi" w:cstheme="minorHAnsi"/>
        </w:rPr>
        <w:fldChar w:fldCharType="separate"/>
      </w:r>
      <w:r w:rsidRPr="0090440D">
        <w:rPr>
          <w:rFonts w:asciiTheme="minorHAnsi" w:hAnsiTheme="minorHAnsi" w:cstheme="minorHAnsi"/>
        </w:rPr>
        <w:t>таблице 1</w:t>
      </w:r>
      <w:r w:rsidRPr="0090440D">
        <w:rPr>
          <w:rFonts w:asciiTheme="minorHAnsi" w:hAnsiTheme="minorHAnsi" w:cstheme="minorHAnsi"/>
        </w:rPr>
        <w:fldChar w:fldCharType="end"/>
      </w:r>
      <w:r w:rsidRPr="0090440D">
        <w:rPr>
          <w:rFonts w:asciiTheme="minorHAnsi" w:hAnsiTheme="minorHAnsi" w:cstheme="minorHAnsi"/>
        </w:rPr>
        <w:t>.</w:t>
      </w:r>
    </w:p>
    <w:p w14:paraId="20FEEEC4" w14:textId="2A57F3ED" w:rsidR="00C035D5" w:rsidRPr="0090440D" w:rsidRDefault="001A1E8E">
      <w:pPr>
        <w:pStyle w:val="af9"/>
        <w:keepNext/>
        <w:rPr>
          <w:rFonts w:hint="eastAsia"/>
        </w:rPr>
      </w:pPr>
      <w:bookmarkStart w:id="0" w:name="_Ref117592003"/>
      <w:r>
        <w:rPr>
          <w:rFonts w:hint="eastAsia"/>
        </w:rPr>
        <w:t>Таблица</w:t>
      </w:r>
      <w:r>
        <w:rPr>
          <w:rFonts w:hint="eastAsia"/>
        </w:rPr>
        <w:t xml:space="preserve">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</w:instrText>
      </w:r>
      <w:r>
        <w:rPr>
          <w:rFonts w:hint="eastAsia"/>
        </w:rPr>
        <w:instrText>Таблица</w:instrText>
      </w:r>
      <w:r>
        <w:rPr>
          <w:rFonts w:hint="eastAsia"/>
        </w:rPr>
        <w:instrText xml:space="preserve">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</w:t>
      </w:r>
      <w:r>
        <w:rPr>
          <w:rFonts w:hint="eastAsia"/>
        </w:rPr>
        <w:fldChar w:fldCharType="end"/>
      </w:r>
      <w:bookmarkEnd w:id="0"/>
      <w:r>
        <w:t xml:space="preserve">. Определения и сокращения </w:t>
      </w:r>
      <w:r w:rsidR="0090440D">
        <w:t>Модуля</w:t>
      </w:r>
    </w:p>
    <w:tbl>
      <w:tblPr>
        <w:tblW w:w="957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6314"/>
      </w:tblGrid>
      <w:tr w:rsidR="00C035D5" w:rsidRPr="005B7F17" w14:paraId="456AE05D" w14:textId="77777777">
        <w:trPr>
          <w:jc w:val="center"/>
        </w:trPr>
        <w:tc>
          <w:tcPr>
            <w:tcW w:w="3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A8980" w14:textId="77777777" w:rsidR="00C035D5" w:rsidRPr="005B7F17" w:rsidRDefault="001A1E8E">
            <w:pPr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  <w:r w:rsidRPr="005B7F17"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  <w:t>Термин/Сокращение</w:t>
            </w:r>
          </w:p>
        </w:tc>
        <w:tc>
          <w:tcPr>
            <w:tcW w:w="63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9EB75" w14:textId="77777777" w:rsidR="00C035D5" w:rsidRPr="005B7F17" w:rsidRDefault="001A1E8E">
            <w:pPr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  <w:r w:rsidRPr="005B7F17"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  <w:t>Определение</w:t>
            </w:r>
          </w:p>
        </w:tc>
      </w:tr>
      <w:tr w:rsidR="00C035D5" w:rsidRPr="005B7F17" w14:paraId="69417643" w14:textId="77777777">
        <w:trPr>
          <w:jc w:val="center"/>
        </w:trPr>
        <w:tc>
          <w:tcPr>
            <w:tcW w:w="3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E291A" w14:textId="25C764C8" w:rsidR="00C035D5" w:rsidRPr="005B7F17" w:rsidRDefault="005B7F17">
            <w:pPr>
              <w:rPr>
                <w:rFonts w:asciiTheme="minorHAnsi" w:eastAsiaTheme="majorEastAsia" w:hAnsiTheme="minorHAnsi" w:cstheme="minorHAnsi"/>
                <w:sz w:val="22"/>
                <w:szCs w:val="22"/>
                <w:lang w:val="en-US"/>
              </w:rPr>
            </w:pPr>
            <w:r w:rsidRPr="005B7F17">
              <w:rPr>
                <w:rFonts w:asciiTheme="minorHAnsi" w:eastAsiaTheme="majorEastAsia" w:hAnsiTheme="minorHAnsi" w:cstheme="minorHAnsi"/>
                <w:sz w:val="22"/>
                <w:szCs w:val="22"/>
              </w:rPr>
              <w:t>Аналитическая</w:t>
            </w:r>
            <w:r w:rsidRPr="00FF4DEA">
              <w:rPr>
                <w:rFonts w:asciiTheme="minorHAnsi" w:eastAsiaTheme="majorEastAsia" w:hAnsiTheme="minorHAnsi" w:cs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eastAsiaTheme="majorEastAsia" w:hAnsiTheme="minorHAnsi" w:cstheme="minorHAnsi"/>
                <w:sz w:val="22"/>
                <w:szCs w:val="22"/>
              </w:rPr>
              <w:t>Б</w:t>
            </w:r>
            <w:r w:rsidRPr="005B7F17">
              <w:rPr>
                <w:rFonts w:asciiTheme="minorHAnsi" w:eastAsiaTheme="majorEastAsia" w:hAnsiTheme="minorHAnsi" w:cstheme="minorHAnsi"/>
                <w:sz w:val="22"/>
                <w:szCs w:val="22"/>
              </w:rPr>
              <w:t>аза</w:t>
            </w:r>
            <w:r w:rsidRPr="00FF4DEA">
              <w:rPr>
                <w:rFonts w:asciiTheme="minorHAnsi" w:eastAsiaTheme="majorEastAsia" w:hAnsiTheme="minorHAnsi" w:cs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eastAsiaTheme="majorEastAsia" w:hAnsiTheme="minorHAnsi" w:cstheme="minorHAnsi"/>
                <w:sz w:val="22"/>
                <w:szCs w:val="22"/>
              </w:rPr>
              <w:t>Д</w:t>
            </w:r>
            <w:r w:rsidR="001A1E8E" w:rsidRPr="005B7F17">
              <w:rPr>
                <w:rFonts w:asciiTheme="minorHAnsi" w:eastAsiaTheme="majorEastAsia" w:hAnsiTheme="minorHAnsi" w:cstheme="minorHAnsi"/>
                <w:sz w:val="22"/>
                <w:szCs w:val="22"/>
                <w:lang w:val="en-US"/>
              </w:rPr>
              <w:t>анных (англ. Content Repository, Data Warehouse, DWH)</w:t>
            </w:r>
          </w:p>
        </w:tc>
        <w:tc>
          <w:tcPr>
            <w:tcW w:w="63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B91B3" w14:textId="77777777" w:rsidR="00C035D5" w:rsidRPr="005B7F17" w:rsidRDefault="001A1E8E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5B7F17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Предметно-ориентированная информационная база данных, сочетающая в себе функции системы управления версиями, поисковой машины и СУБД </w:t>
            </w:r>
          </w:p>
        </w:tc>
      </w:tr>
      <w:tr w:rsidR="00C035D5" w:rsidRPr="005B7F17" w14:paraId="2B2AFD91" w14:textId="77777777">
        <w:trPr>
          <w:jc w:val="center"/>
        </w:trPr>
        <w:tc>
          <w:tcPr>
            <w:tcW w:w="3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2DA75" w14:textId="480BB21E" w:rsidR="00C035D5" w:rsidRPr="005B7F17" w:rsidRDefault="005B7F17">
            <w:pPr>
              <w:rPr>
                <w:rFonts w:asciiTheme="minorHAnsi" w:eastAsiaTheme="majorEastAsia" w:hAnsiTheme="minorHAnsi" w:cstheme="minorHAnsi"/>
                <w:sz w:val="22"/>
                <w:szCs w:val="22"/>
                <w:lang w:val="en-US"/>
              </w:rPr>
            </w:pPr>
            <w:r w:rsidRPr="005B7F17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База данных </w:t>
            </w:r>
            <w:r w:rsidRPr="005B7F17">
              <w:rPr>
                <w:rFonts w:asciiTheme="minorHAnsi" w:eastAsiaTheme="majorEastAsia" w:hAnsiTheme="minorHAnsi" w:cstheme="minorHAnsi"/>
                <w:sz w:val="22"/>
                <w:szCs w:val="22"/>
                <w:lang w:val="en-US"/>
              </w:rPr>
              <w:t>ViQube</w:t>
            </w:r>
          </w:p>
        </w:tc>
        <w:tc>
          <w:tcPr>
            <w:tcW w:w="63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3867B" w14:textId="08F1B43F" w:rsidR="00C035D5" w:rsidRPr="005B7F17" w:rsidRDefault="005B7F17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5B7F17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Собственная база данных платформы </w:t>
            </w:r>
            <w:r w:rsidRPr="005B7F17">
              <w:rPr>
                <w:rFonts w:asciiTheme="minorHAnsi" w:eastAsiaTheme="majorEastAsia" w:hAnsiTheme="minorHAnsi" w:cstheme="minorHAnsi"/>
                <w:sz w:val="22"/>
                <w:szCs w:val="22"/>
                <w:lang w:val="en-US"/>
              </w:rPr>
              <w:t>Visiology</w:t>
            </w:r>
            <w:r w:rsidRPr="005B7F17">
              <w:rPr>
                <w:rFonts w:asciiTheme="minorHAnsi" w:eastAsiaTheme="majorEastAsia" w:hAnsiTheme="minorHAnsi" w:cstheme="minorHAnsi"/>
                <w:sz w:val="22"/>
                <w:szCs w:val="22"/>
              </w:rPr>
              <w:t>, предназначенная для ускорения обработки аналитических запросов.</w:t>
            </w:r>
          </w:p>
        </w:tc>
      </w:tr>
      <w:tr w:rsidR="00C035D5" w:rsidRPr="0090440D" w14:paraId="6D142F46" w14:textId="77777777">
        <w:trPr>
          <w:jc w:val="center"/>
        </w:trPr>
        <w:tc>
          <w:tcPr>
            <w:tcW w:w="3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E7832" w14:textId="2AFDA718" w:rsidR="00C035D5" w:rsidRPr="005B7F17" w:rsidRDefault="005B7F17">
            <w:pPr>
              <w:rPr>
                <w:rFonts w:asciiTheme="minorHAnsi" w:eastAsiaTheme="majorEastAsia" w:hAnsiTheme="minorHAnsi" w:cstheme="minorHAnsi"/>
                <w:sz w:val="22"/>
                <w:szCs w:val="22"/>
                <w:lang w:val="en-US"/>
              </w:rPr>
            </w:pPr>
            <w:r w:rsidRPr="005B7F17">
              <w:rPr>
                <w:rFonts w:asciiTheme="minorHAnsi" w:eastAsiaTheme="majorEastAsia" w:hAnsiTheme="minorHAnsi" w:cstheme="minorHAnsi"/>
                <w:sz w:val="22"/>
                <w:szCs w:val="22"/>
                <w:lang w:val="en-US"/>
              </w:rPr>
              <w:t>Smart Forms</w:t>
            </w:r>
          </w:p>
        </w:tc>
        <w:tc>
          <w:tcPr>
            <w:tcW w:w="63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5EBCE" w14:textId="65003E81" w:rsidR="00C035D5" w:rsidRPr="005B7F17" w:rsidRDefault="005B7F17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5B7F17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Модуль платформы </w:t>
            </w:r>
            <w:r w:rsidRPr="005B7F17">
              <w:rPr>
                <w:rFonts w:asciiTheme="minorHAnsi" w:eastAsiaTheme="majorEastAsia" w:hAnsiTheme="minorHAnsi" w:cstheme="minorHAnsi"/>
                <w:sz w:val="22"/>
                <w:szCs w:val="22"/>
                <w:lang w:val="en-US"/>
              </w:rPr>
              <w:t>Visiology</w:t>
            </w:r>
            <w:r w:rsidRPr="005B7F17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предназначен для сбора, консолидации и согласования отчетных данных</w:t>
            </w:r>
          </w:p>
        </w:tc>
      </w:tr>
    </w:tbl>
    <w:p w14:paraId="5B4D3F0A" w14:textId="77777777" w:rsidR="00C035D5" w:rsidRDefault="001A1E8E">
      <w:pPr>
        <w:pStyle w:val="1"/>
      </w:pPr>
      <w:r>
        <w:t>Архитектура решения</w:t>
      </w:r>
    </w:p>
    <w:p w14:paraId="3D785C3E" w14:textId="77777777" w:rsidR="00C035D5" w:rsidRDefault="001A1E8E">
      <w:pPr>
        <w:pStyle w:val="2"/>
      </w:pPr>
      <w:r>
        <w:t>Состав компонент</w:t>
      </w:r>
    </w:p>
    <w:p w14:paraId="4D7788CB" w14:textId="28BEA7AD" w:rsidR="00C035D5" w:rsidRPr="00FF4DEA" w:rsidRDefault="00255C66">
      <w:pPr>
        <w:rPr>
          <w:rFonts w:asciiTheme="minorHAnsi" w:hAnsiTheme="minorHAnsi" w:cstheme="minorHAnsi"/>
          <w:sz w:val="22"/>
          <w:szCs w:val="21"/>
        </w:rPr>
      </w:pPr>
      <w:r w:rsidRPr="00FF4DEA">
        <w:rPr>
          <w:rFonts w:asciiTheme="minorHAnsi" w:hAnsiTheme="minorHAnsi" w:cstheme="minorHAnsi"/>
          <w:sz w:val="22"/>
          <w:szCs w:val="21"/>
        </w:rPr>
        <w:t>Модуль</w:t>
      </w:r>
      <w:r w:rsidR="001A1E8E" w:rsidRPr="00FF4DEA">
        <w:rPr>
          <w:rFonts w:asciiTheme="minorHAnsi" w:hAnsiTheme="minorHAnsi" w:cstheme="minorHAnsi"/>
          <w:sz w:val="22"/>
          <w:szCs w:val="21"/>
        </w:rPr>
        <w:t xml:space="preserve"> включает в себя следующие </w:t>
      </w:r>
      <w:r w:rsidRPr="00FF4DEA">
        <w:rPr>
          <w:rFonts w:asciiTheme="minorHAnsi" w:hAnsiTheme="minorHAnsi" w:cstheme="minorHAnsi"/>
          <w:sz w:val="22"/>
          <w:szCs w:val="21"/>
        </w:rPr>
        <w:t>разделы</w:t>
      </w:r>
      <w:r w:rsidR="001A1E8E" w:rsidRPr="00FF4DEA">
        <w:rPr>
          <w:rFonts w:asciiTheme="minorHAnsi" w:hAnsiTheme="minorHAnsi" w:cstheme="minorHAnsi"/>
          <w:sz w:val="22"/>
          <w:szCs w:val="21"/>
        </w:rPr>
        <w:t>:</w:t>
      </w:r>
    </w:p>
    <w:p w14:paraId="0A8DD36C" w14:textId="53114908" w:rsidR="00255C66" w:rsidRPr="00FF4DEA" w:rsidRDefault="00255C66" w:rsidP="00255C66">
      <w:pPr>
        <w:pStyle w:val="13"/>
        <w:numPr>
          <w:ilvl w:val="0"/>
          <w:numId w:val="5"/>
        </w:numPr>
        <w:rPr>
          <w:rFonts w:asciiTheme="minorHAnsi" w:eastAsia="NSimSun" w:hAnsiTheme="minorHAnsi" w:cstheme="minorHAnsi"/>
          <w:sz w:val="22"/>
          <w:szCs w:val="21"/>
          <w:lang w:eastAsia="zh-CN" w:bidi="hi-IN"/>
        </w:rPr>
      </w:pPr>
      <w:r w:rsidRPr="00FF4DEA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 xml:space="preserve">Загрузочный модуль. </w:t>
      </w:r>
    </w:p>
    <w:p w14:paraId="7DF48536" w14:textId="2B4107C8" w:rsidR="00255C66" w:rsidRPr="00FF4DEA" w:rsidRDefault="00255C66" w:rsidP="00255C66">
      <w:pPr>
        <w:pStyle w:val="13"/>
        <w:numPr>
          <w:ilvl w:val="0"/>
          <w:numId w:val="5"/>
        </w:numPr>
        <w:rPr>
          <w:rFonts w:asciiTheme="minorHAnsi" w:eastAsia="NSimSun" w:hAnsiTheme="minorHAnsi" w:cstheme="minorHAnsi"/>
          <w:sz w:val="22"/>
          <w:szCs w:val="21"/>
          <w:lang w:eastAsia="zh-CN" w:bidi="hi-IN"/>
        </w:rPr>
      </w:pPr>
      <w:r w:rsidRPr="00FF4DEA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Модуль мониторинга и анализа.</w:t>
      </w:r>
    </w:p>
    <w:p w14:paraId="5D334B9E" w14:textId="77777777" w:rsidR="00C035D5" w:rsidRDefault="00C035D5">
      <w:pPr>
        <w:pStyle w:val="3"/>
      </w:pPr>
    </w:p>
    <w:p w14:paraId="13E8CF02" w14:textId="2FB86D59" w:rsidR="00C035D5" w:rsidRDefault="00255C66">
      <w:pPr>
        <w:pStyle w:val="3"/>
      </w:pPr>
      <w:r>
        <w:t>Загрузочный модуль</w:t>
      </w:r>
    </w:p>
    <w:p w14:paraId="655A34B3" w14:textId="5192730E" w:rsidR="00C035D5" w:rsidRPr="00FF4DEA" w:rsidRDefault="00255C66">
      <w:pPr>
        <w:rPr>
          <w:rFonts w:asciiTheme="minorHAnsi" w:hAnsiTheme="minorHAnsi" w:cstheme="minorHAnsi"/>
          <w:sz w:val="22"/>
          <w:szCs w:val="21"/>
        </w:rPr>
      </w:pPr>
      <w:r w:rsidRPr="00FF4DEA">
        <w:rPr>
          <w:rFonts w:asciiTheme="minorHAnsi" w:hAnsiTheme="minorHAnsi" w:cstheme="minorHAnsi"/>
          <w:sz w:val="22"/>
          <w:szCs w:val="21"/>
        </w:rPr>
        <w:t>Модуль загрузки предназначен для получения данных из Системы электронного документооборота или аналогичных систем, получения данных из файлов, ручного внесения данных в подготовленные формы ввода и дальнейшей их интеграции, и распределения в соответствующие витрины в БД.</w:t>
      </w:r>
    </w:p>
    <w:p w14:paraId="50A4A0FA" w14:textId="77777777" w:rsidR="00C035D5" w:rsidRDefault="00C035D5">
      <w:pPr>
        <w:rPr>
          <w:rFonts w:asciiTheme="minorHAnsi" w:hAnsiTheme="minorHAnsi" w:cstheme="minorHAnsi"/>
        </w:rPr>
      </w:pPr>
    </w:p>
    <w:p w14:paraId="56C06A84" w14:textId="20B18695" w:rsidR="00C035D5" w:rsidRDefault="00255C66">
      <w:pPr>
        <w:pStyle w:val="3"/>
      </w:pPr>
      <w:r>
        <w:t>Модуль мониторинга и анализа</w:t>
      </w:r>
    </w:p>
    <w:p w14:paraId="2EC31FAC" w14:textId="6BD878AD" w:rsidR="00C035D5" w:rsidRPr="00FF4DEA" w:rsidRDefault="00255C66">
      <w:pPr>
        <w:rPr>
          <w:rFonts w:asciiTheme="minorHAnsi" w:hAnsiTheme="minorHAnsi" w:cstheme="minorHAnsi"/>
          <w:sz w:val="22"/>
          <w:szCs w:val="21"/>
        </w:rPr>
      </w:pPr>
      <w:r w:rsidRPr="00FF4DEA">
        <w:rPr>
          <w:rFonts w:asciiTheme="minorHAnsi" w:hAnsiTheme="minorHAnsi" w:cstheme="minorHAnsi"/>
          <w:sz w:val="22"/>
          <w:szCs w:val="21"/>
        </w:rPr>
        <w:t>Модуль представления информации должен быть разбит на разделы, характеризующие количество и статусы актуальных и архивных поручений разных типов/уровней, количественным и качественные характеристики эффективности исполнения ключных показателей деятельности</w:t>
      </w:r>
      <w:r w:rsidR="001A1E8E" w:rsidRPr="00FF4DEA">
        <w:rPr>
          <w:rFonts w:asciiTheme="minorHAnsi" w:hAnsiTheme="minorHAnsi" w:cstheme="minorHAnsi"/>
          <w:sz w:val="22"/>
          <w:szCs w:val="21"/>
        </w:rPr>
        <w:t>.</w:t>
      </w:r>
    </w:p>
    <w:p w14:paraId="2F486485" w14:textId="77777777" w:rsidR="00C035D5" w:rsidRDefault="001A1E8E">
      <w:pPr>
        <w:pStyle w:val="2"/>
        <w:rPr>
          <w:rFonts w:asciiTheme="minorHAnsi" w:hAnsiTheme="minorHAnsi" w:cstheme="minorHAnsi"/>
        </w:rPr>
      </w:pPr>
      <w:r>
        <w:t>Основные взаимодействия</w:t>
      </w:r>
    </w:p>
    <w:p w14:paraId="07450DC6" w14:textId="77777777" w:rsidR="00C035D5" w:rsidRPr="00FF4DEA" w:rsidRDefault="001A1E8E">
      <w:pPr>
        <w:rPr>
          <w:rFonts w:asciiTheme="minorHAnsi" w:hAnsiTheme="minorHAnsi" w:cstheme="minorHAnsi"/>
          <w:sz w:val="22"/>
          <w:szCs w:val="21"/>
        </w:rPr>
      </w:pPr>
      <w:r w:rsidRPr="00FF4DEA">
        <w:rPr>
          <w:rFonts w:asciiTheme="minorHAnsi" w:hAnsiTheme="minorHAnsi" w:cstheme="minorHAnsi"/>
          <w:sz w:val="22"/>
          <w:szCs w:val="21"/>
        </w:rPr>
        <w:t xml:space="preserve">На </w:t>
      </w:r>
      <w:r w:rsidRPr="00FF4DEA">
        <w:rPr>
          <w:rFonts w:asciiTheme="minorHAnsi" w:hAnsiTheme="minorHAnsi" w:cstheme="minorHAnsi"/>
          <w:sz w:val="22"/>
          <w:szCs w:val="21"/>
        </w:rPr>
        <w:fldChar w:fldCharType="begin"/>
      </w:r>
      <w:r w:rsidRPr="00FF4DEA">
        <w:rPr>
          <w:rFonts w:asciiTheme="minorHAnsi" w:hAnsiTheme="minorHAnsi" w:cstheme="minorHAnsi"/>
          <w:sz w:val="22"/>
          <w:szCs w:val="21"/>
        </w:rPr>
        <w:instrText xml:space="preserve"> REF _Ref117612101 \h  \* MERGEFORMAT </w:instrText>
      </w:r>
      <w:r w:rsidRPr="00FF4DEA">
        <w:rPr>
          <w:rFonts w:asciiTheme="minorHAnsi" w:hAnsiTheme="minorHAnsi" w:cstheme="minorHAnsi"/>
          <w:sz w:val="22"/>
          <w:szCs w:val="21"/>
        </w:rPr>
      </w:r>
      <w:r w:rsidRPr="00FF4DEA">
        <w:rPr>
          <w:rFonts w:asciiTheme="minorHAnsi" w:hAnsiTheme="minorHAnsi" w:cstheme="minorHAnsi"/>
          <w:sz w:val="22"/>
          <w:szCs w:val="21"/>
        </w:rPr>
        <w:fldChar w:fldCharType="separate"/>
      </w:r>
      <w:r w:rsidRPr="00FF4DEA">
        <w:rPr>
          <w:rFonts w:asciiTheme="minorHAnsi" w:hAnsiTheme="minorHAnsi" w:cstheme="minorHAnsi"/>
          <w:sz w:val="22"/>
          <w:szCs w:val="21"/>
        </w:rPr>
        <w:t>рисунке 1</w:t>
      </w:r>
      <w:r w:rsidRPr="00FF4DEA">
        <w:rPr>
          <w:rFonts w:asciiTheme="minorHAnsi" w:hAnsiTheme="minorHAnsi" w:cstheme="minorHAnsi"/>
          <w:sz w:val="22"/>
          <w:szCs w:val="21"/>
        </w:rPr>
        <w:fldChar w:fldCharType="end"/>
      </w:r>
      <w:r w:rsidRPr="00FF4DEA">
        <w:rPr>
          <w:rFonts w:asciiTheme="minorHAnsi" w:hAnsiTheme="minorHAnsi" w:cstheme="minorHAnsi"/>
          <w:sz w:val="22"/>
          <w:szCs w:val="21"/>
        </w:rPr>
        <w:t xml:space="preserve"> представлена схема решения и основные взаимодействия между его частями и внешними системами:</w:t>
      </w:r>
    </w:p>
    <w:p w14:paraId="7F2E1508" w14:textId="09E3A27F" w:rsidR="00C035D5" w:rsidRPr="00FF4DEA" w:rsidRDefault="00CD4495">
      <w:pPr>
        <w:pStyle w:val="afa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FF4DEA">
        <w:rPr>
          <w:rFonts w:asciiTheme="minorHAnsi" w:hAnsiTheme="minorHAnsi" w:cstheme="minorHAnsi"/>
          <w:sz w:val="22"/>
        </w:rPr>
        <w:t>Сбор и преобразование данных из различных источников</w:t>
      </w:r>
      <w:r w:rsidR="001A1E8E" w:rsidRPr="00FF4DEA">
        <w:rPr>
          <w:rFonts w:asciiTheme="minorHAnsi" w:hAnsiTheme="minorHAnsi" w:cstheme="minorHAnsi"/>
          <w:sz w:val="22"/>
        </w:rPr>
        <w:t>;</w:t>
      </w:r>
    </w:p>
    <w:p w14:paraId="25E9C546" w14:textId="07137F93" w:rsidR="00C035D5" w:rsidRPr="00FF4DEA" w:rsidRDefault="00CD4495">
      <w:pPr>
        <w:pStyle w:val="afa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FF4DEA">
        <w:rPr>
          <w:rFonts w:asciiTheme="minorHAnsi" w:hAnsiTheme="minorHAnsi" w:cstheme="minorHAnsi"/>
          <w:sz w:val="22"/>
        </w:rPr>
        <w:t>Ручной ввод данных в формы ввода Smart Forms</w:t>
      </w:r>
      <w:r w:rsidR="001A1E8E" w:rsidRPr="00FF4DEA">
        <w:rPr>
          <w:rFonts w:asciiTheme="minorHAnsi" w:hAnsiTheme="minorHAnsi" w:cstheme="minorHAnsi"/>
          <w:sz w:val="22"/>
        </w:rPr>
        <w:t>;</w:t>
      </w:r>
    </w:p>
    <w:p w14:paraId="1441E187" w14:textId="008F3B3D" w:rsidR="00C035D5" w:rsidRPr="00FF4DEA" w:rsidRDefault="00CD4495">
      <w:pPr>
        <w:pStyle w:val="afa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FF4DEA">
        <w:rPr>
          <w:rFonts w:asciiTheme="minorHAnsi" w:hAnsiTheme="minorHAnsi" w:cstheme="minorHAnsi"/>
          <w:sz w:val="22"/>
        </w:rPr>
        <w:t>Передача данных ручного ввода в аналитическую базу данных для преобразования и обогащения данных</w:t>
      </w:r>
      <w:r w:rsidR="001A1E8E" w:rsidRPr="00FF4DEA">
        <w:rPr>
          <w:rFonts w:asciiTheme="minorHAnsi" w:hAnsiTheme="minorHAnsi" w:cstheme="minorHAnsi"/>
          <w:sz w:val="22"/>
        </w:rPr>
        <w:t>;</w:t>
      </w:r>
    </w:p>
    <w:p w14:paraId="3E75BC61" w14:textId="775267F3" w:rsidR="00C035D5" w:rsidRPr="00FF4DEA" w:rsidRDefault="00CD4495">
      <w:pPr>
        <w:pStyle w:val="afa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FF4DEA">
        <w:rPr>
          <w:rFonts w:asciiTheme="minorHAnsi" w:hAnsiTheme="minorHAnsi" w:cstheme="minorHAnsi"/>
          <w:sz w:val="22"/>
        </w:rPr>
        <w:t>Передача данных ручного ввода Smart Forms в базу данных ViQube</w:t>
      </w:r>
      <w:r w:rsidR="001A1E8E" w:rsidRPr="00FF4DEA">
        <w:rPr>
          <w:rFonts w:asciiTheme="minorHAnsi" w:hAnsiTheme="minorHAnsi" w:cstheme="minorHAnsi"/>
          <w:sz w:val="22"/>
        </w:rPr>
        <w:t>;</w:t>
      </w:r>
    </w:p>
    <w:p w14:paraId="45C8A1E4" w14:textId="272C52BE" w:rsidR="00C035D5" w:rsidRPr="00FF4DEA" w:rsidRDefault="00CD4495">
      <w:pPr>
        <w:pStyle w:val="afa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FF4DEA">
        <w:rPr>
          <w:rFonts w:asciiTheme="minorHAnsi" w:hAnsiTheme="minorHAnsi" w:cstheme="minorHAnsi"/>
          <w:sz w:val="22"/>
        </w:rPr>
        <w:t>Загрузка данных из аналитической базы данных в базу данных ViQube</w:t>
      </w:r>
      <w:r w:rsidR="001A1E8E" w:rsidRPr="00FF4DEA">
        <w:rPr>
          <w:rFonts w:asciiTheme="minorHAnsi" w:hAnsiTheme="minorHAnsi" w:cstheme="minorHAnsi"/>
          <w:sz w:val="22"/>
        </w:rPr>
        <w:t>;</w:t>
      </w:r>
    </w:p>
    <w:p w14:paraId="3CF77AB3" w14:textId="73E42532" w:rsidR="00C035D5" w:rsidRPr="00FF4DEA" w:rsidRDefault="00CD4495">
      <w:pPr>
        <w:pStyle w:val="afa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FF4DEA">
        <w:rPr>
          <w:rFonts w:asciiTheme="minorHAnsi" w:hAnsiTheme="minorHAnsi" w:cstheme="minorHAnsi"/>
          <w:sz w:val="22"/>
        </w:rPr>
        <w:t>Передача группированных и структурированных данных из базы данных ViQube на различные разделы блока визуализации данных</w:t>
      </w:r>
      <w:r w:rsidR="001A1E8E" w:rsidRPr="00FF4DEA">
        <w:rPr>
          <w:rFonts w:asciiTheme="minorHAnsi" w:hAnsiTheme="minorHAnsi" w:cstheme="minorHAnsi"/>
          <w:sz w:val="22"/>
        </w:rPr>
        <w:t>;</w:t>
      </w:r>
    </w:p>
    <w:p w14:paraId="7D2AFAD1" w14:textId="1BFB7FF0" w:rsidR="00C035D5" w:rsidRPr="00FF4DEA" w:rsidRDefault="00CD4495">
      <w:pPr>
        <w:pStyle w:val="afa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FF4DEA">
        <w:rPr>
          <w:rFonts w:asciiTheme="minorHAnsi" w:hAnsiTheme="minorHAnsi" w:cstheme="minorHAnsi"/>
          <w:sz w:val="22"/>
        </w:rPr>
        <w:t>Передача группированных и структурированных данных из базы данных ViQube в настраиваемые регламентные отчеты</w:t>
      </w:r>
      <w:r w:rsidR="001A1E8E" w:rsidRPr="00FF4DEA">
        <w:rPr>
          <w:rFonts w:asciiTheme="minorHAnsi" w:hAnsiTheme="minorHAnsi" w:cstheme="minorHAnsi"/>
          <w:sz w:val="22"/>
        </w:rPr>
        <w:t>;</w:t>
      </w:r>
    </w:p>
    <w:p w14:paraId="74E5234D" w14:textId="60A9F02D" w:rsidR="00C035D5" w:rsidRPr="00FF4DEA" w:rsidRDefault="00CD4495">
      <w:pPr>
        <w:pStyle w:val="afa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FF4DEA">
        <w:rPr>
          <w:rFonts w:asciiTheme="minorHAnsi" w:hAnsiTheme="minorHAnsi" w:cstheme="minorHAnsi"/>
          <w:sz w:val="22"/>
        </w:rPr>
        <w:t>Взаимодействие</w:t>
      </w:r>
      <w:r w:rsidR="005B7F17" w:rsidRPr="00FF4DEA">
        <w:rPr>
          <w:rFonts w:asciiTheme="minorHAnsi" w:hAnsiTheme="minorHAnsi" w:cstheme="minorHAnsi"/>
          <w:sz w:val="22"/>
        </w:rPr>
        <w:t xml:space="preserve"> Пользователя с блоками визуализации данных и регламентными отчетами, настройка срезов данных, аналитика данных</w:t>
      </w:r>
      <w:r w:rsidR="001A1E8E" w:rsidRPr="00FF4DEA">
        <w:rPr>
          <w:rFonts w:asciiTheme="minorHAnsi" w:hAnsiTheme="minorHAnsi" w:cstheme="minorHAnsi"/>
          <w:sz w:val="22"/>
        </w:rPr>
        <w:t>;</w:t>
      </w:r>
    </w:p>
    <w:p w14:paraId="43AA821A" w14:textId="77777777" w:rsidR="00C035D5" w:rsidRDefault="00C035D5">
      <w:pPr>
        <w:pStyle w:val="afa"/>
        <w:rPr>
          <w:rFonts w:asciiTheme="minorHAnsi" w:hAnsiTheme="minorHAnsi" w:cstheme="minorHAnsi"/>
        </w:rPr>
      </w:pPr>
    </w:p>
    <w:p w14:paraId="6E85BD9D" w14:textId="06E50037" w:rsidR="00CD4495" w:rsidRDefault="00CD4495" w:rsidP="00CD4495">
      <w:pPr>
        <w:ind w:left="-14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</w:rPr>
        <w:lastRenderedPageBreak/>
        <w:drawing>
          <wp:inline distT="0" distB="0" distL="0" distR="0" wp14:anchorId="1A45F894" wp14:editId="37D0132E">
            <wp:extent cx="6751531" cy="1942221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614" cy="1947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3D098" w14:textId="4B2CC07E" w:rsidR="00C035D5" w:rsidRDefault="001A1E8E">
      <w:pPr>
        <w:pStyle w:val="af9"/>
        <w:rPr>
          <w:rFonts w:hint="eastAsia"/>
        </w:rPr>
      </w:pPr>
      <w:bookmarkStart w:id="1" w:name="_Ref117612101"/>
      <w:r>
        <w:rPr>
          <w:rFonts w:hint="eastAsia"/>
        </w:rPr>
        <w:t>Рисунок</w:t>
      </w:r>
      <w:r>
        <w:rPr>
          <w:rFonts w:hint="eastAsia"/>
        </w:rPr>
        <w:t xml:space="preserve">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</w:instrText>
      </w:r>
      <w:r>
        <w:rPr>
          <w:rFonts w:hint="eastAsia"/>
        </w:rPr>
        <w:instrText>Рисунок</w:instrText>
      </w:r>
      <w:r>
        <w:rPr>
          <w:rFonts w:hint="eastAsia"/>
        </w:rPr>
        <w:instrText xml:space="preserve">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</w:t>
      </w:r>
      <w:r>
        <w:rPr>
          <w:rFonts w:hint="eastAsia"/>
        </w:rPr>
        <w:fldChar w:fldCharType="end"/>
      </w:r>
      <w:bookmarkEnd w:id="1"/>
      <w:r>
        <w:t>. Архитектура решения</w:t>
      </w:r>
    </w:p>
    <w:p w14:paraId="0EE18AE7" w14:textId="7D9A6D52" w:rsidR="00CD4495" w:rsidRDefault="00CD4495">
      <w:pPr>
        <w:pStyle w:val="af9"/>
        <w:rPr>
          <w:rFonts w:hint="eastAsia"/>
        </w:rPr>
      </w:pPr>
    </w:p>
    <w:p w14:paraId="2860E5D7" w14:textId="6BC319D6" w:rsidR="00CD4495" w:rsidRDefault="00CD4495">
      <w:pPr>
        <w:pStyle w:val="af9"/>
        <w:rPr>
          <w:rFonts w:asciiTheme="minorHAnsi" w:hAnsiTheme="minorHAnsi" w:cstheme="minorHAnsi"/>
          <w:sz w:val="22"/>
        </w:rPr>
      </w:pPr>
    </w:p>
    <w:sectPr w:rsidR="00CD4495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3EE31" w14:textId="77777777" w:rsidR="003D1484" w:rsidRDefault="003D1484">
      <w:pPr>
        <w:rPr>
          <w:rFonts w:hint="eastAsia"/>
        </w:rPr>
      </w:pPr>
      <w:r>
        <w:separator/>
      </w:r>
    </w:p>
  </w:endnote>
  <w:endnote w:type="continuationSeparator" w:id="0">
    <w:p w14:paraId="203838CA" w14:textId="77777777" w:rsidR="003D1484" w:rsidRDefault="003D148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845D1" w14:textId="77777777" w:rsidR="003D1484" w:rsidRDefault="003D148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202E3EF" w14:textId="77777777" w:rsidR="003D1484" w:rsidRDefault="003D148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F58AF"/>
    <w:multiLevelType w:val="hybridMultilevel"/>
    <w:tmpl w:val="F65EF848"/>
    <w:lvl w:ilvl="0" w:tplc="75CA675C">
      <w:start w:val="1"/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 w:tplc="98022BE2">
      <w:start w:val="1"/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 w:tplc="D5B639EA">
      <w:start w:val="1"/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 w:tplc="30602F90">
      <w:start w:val="1"/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 w:tplc="F732DFCC">
      <w:start w:val="1"/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 w:tplc="41E0911C">
      <w:start w:val="1"/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 w:tplc="85C0975E">
      <w:start w:val="1"/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 w:tplc="6CD470FC">
      <w:start w:val="1"/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 w:tplc="CDD62884">
      <w:start w:val="1"/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D8A5326"/>
    <w:multiLevelType w:val="hybridMultilevel"/>
    <w:tmpl w:val="BBCCF8B2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" w15:restartNumberingAfterBreak="0">
    <w:nsid w:val="6D0A6DC9"/>
    <w:multiLevelType w:val="hybridMultilevel"/>
    <w:tmpl w:val="096CCAF8"/>
    <w:lvl w:ilvl="0" w:tplc="0994F7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ECC5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7ECC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CC6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1870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6CD4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4078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82B8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FE64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50335E"/>
    <w:multiLevelType w:val="hybridMultilevel"/>
    <w:tmpl w:val="A9B2B136"/>
    <w:lvl w:ilvl="0" w:tplc="D7683C54">
      <w:start w:val="1"/>
      <w:numFmt w:val="decimal"/>
      <w:lvlText w:val="%1."/>
      <w:lvlJc w:val="left"/>
      <w:pPr>
        <w:ind w:left="720" w:hanging="360"/>
      </w:pPr>
    </w:lvl>
    <w:lvl w:ilvl="1" w:tplc="DE5AB57E">
      <w:start w:val="1"/>
      <w:numFmt w:val="lowerLetter"/>
      <w:lvlText w:val="%2."/>
      <w:lvlJc w:val="left"/>
      <w:pPr>
        <w:ind w:left="1440" w:hanging="360"/>
      </w:pPr>
    </w:lvl>
    <w:lvl w:ilvl="2" w:tplc="15BE717A">
      <w:start w:val="1"/>
      <w:numFmt w:val="lowerRoman"/>
      <w:lvlText w:val="%3."/>
      <w:lvlJc w:val="right"/>
      <w:pPr>
        <w:ind w:left="2160" w:hanging="180"/>
      </w:pPr>
    </w:lvl>
    <w:lvl w:ilvl="3" w:tplc="BBFC2B7E">
      <w:start w:val="1"/>
      <w:numFmt w:val="decimal"/>
      <w:lvlText w:val="%4."/>
      <w:lvlJc w:val="left"/>
      <w:pPr>
        <w:ind w:left="2880" w:hanging="360"/>
      </w:pPr>
    </w:lvl>
    <w:lvl w:ilvl="4" w:tplc="0922BB74">
      <w:start w:val="1"/>
      <w:numFmt w:val="lowerLetter"/>
      <w:lvlText w:val="%5."/>
      <w:lvlJc w:val="left"/>
      <w:pPr>
        <w:ind w:left="3600" w:hanging="360"/>
      </w:pPr>
    </w:lvl>
    <w:lvl w:ilvl="5" w:tplc="E3EECEFC">
      <w:start w:val="1"/>
      <w:numFmt w:val="lowerRoman"/>
      <w:lvlText w:val="%6."/>
      <w:lvlJc w:val="right"/>
      <w:pPr>
        <w:ind w:left="4320" w:hanging="180"/>
      </w:pPr>
    </w:lvl>
    <w:lvl w:ilvl="6" w:tplc="19E822CA">
      <w:start w:val="1"/>
      <w:numFmt w:val="decimal"/>
      <w:lvlText w:val="%7."/>
      <w:lvlJc w:val="left"/>
      <w:pPr>
        <w:ind w:left="5040" w:hanging="360"/>
      </w:pPr>
    </w:lvl>
    <w:lvl w:ilvl="7" w:tplc="02CE0FD6">
      <w:start w:val="1"/>
      <w:numFmt w:val="lowerLetter"/>
      <w:lvlText w:val="%8."/>
      <w:lvlJc w:val="left"/>
      <w:pPr>
        <w:ind w:left="5760" w:hanging="360"/>
      </w:pPr>
    </w:lvl>
    <w:lvl w:ilvl="8" w:tplc="D9D68BE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E2C61"/>
    <w:multiLevelType w:val="hybridMultilevel"/>
    <w:tmpl w:val="8DF09690"/>
    <w:lvl w:ilvl="0" w:tplc="A61A9FA4">
      <w:start w:val="1"/>
      <w:numFmt w:val="decimal"/>
      <w:lvlText w:val="%1."/>
      <w:lvlJc w:val="left"/>
      <w:pPr>
        <w:ind w:left="720" w:hanging="360"/>
      </w:pPr>
    </w:lvl>
    <w:lvl w:ilvl="1" w:tplc="00889E6C">
      <w:start w:val="1"/>
      <w:numFmt w:val="lowerLetter"/>
      <w:lvlText w:val="%2."/>
      <w:lvlJc w:val="left"/>
      <w:pPr>
        <w:ind w:left="1440" w:hanging="360"/>
      </w:pPr>
    </w:lvl>
    <w:lvl w:ilvl="2" w:tplc="FEF0EBD0">
      <w:start w:val="1"/>
      <w:numFmt w:val="lowerRoman"/>
      <w:lvlText w:val="%3."/>
      <w:lvlJc w:val="right"/>
      <w:pPr>
        <w:ind w:left="2160" w:hanging="180"/>
      </w:pPr>
    </w:lvl>
    <w:lvl w:ilvl="3" w:tplc="3468D2BC">
      <w:start w:val="1"/>
      <w:numFmt w:val="decimal"/>
      <w:lvlText w:val="%4."/>
      <w:lvlJc w:val="left"/>
      <w:pPr>
        <w:ind w:left="2880" w:hanging="360"/>
      </w:pPr>
    </w:lvl>
    <w:lvl w:ilvl="4" w:tplc="2F7644A2">
      <w:start w:val="1"/>
      <w:numFmt w:val="lowerLetter"/>
      <w:lvlText w:val="%5."/>
      <w:lvlJc w:val="left"/>
      <w:pPr>
        <w:ind w:left="3600" w:hanging="360"/>
      </w:pPr>
    </w:lvl>
    <w:lvl w:ilvl="5" w:tplc="8E3882BC">
      <w:start w:val="1"/>
      <w:numFmt w:val="lowerRoman"/>
      <w:lvlText w:val="%6."/>
      <w:lvlJc w:val="right"/>
      <w:pPr>
        <w:ind w:left="4320" w:hanging="180"/>
      </w:pPr>
    </w:lvl>
    <w:lvl w:ilvl="6" w:tplc="F8CE8346">
      <w:start w:val="1"/>
      <w:numFmt w:val="decimal"/>
      <w:lvlText w:val="%7."/>
      <w:lvlJc w:val="left"/>
      <w:pPr>
        <w:ind w:left="5040" w:hanging="360"/>
      </w:pPr>
    </w:lvl>
    <w:lvl w:ilvl="7" w:tplc="8200A148">
      <w:start w:val="1"/>
      <w:numFmt w:val="lowerLetter"/>
      <w:lvlText w:val="%8."/>
      <w:lvlJc w:val="left"/>
      <w:pPr>
        <w:ind w:left="5760" w:hanging="360"/>
      </w:pPr>
    </w:lvl>
    <w:lvl w:ilvl="8" w:tplc="B22AAA7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5D5"/>
    <w:rsid w:val="00104AC3"/>
    <w:rsid w:val="001A1E8E"/>
    <w:rsid w:val="00255C66"/>
    <w:rsid w:val="003D1484"/>
    <w:rsid w:val="005B7F17"/>
    <w:rsid w:val="007F2000"/>
    <w:rsid w:val="0090440D"/>
    <w:rsid w:val="00C035D5"/>
    <w:rsid w:val="00C31BD8"/>
    <w:rsid w:val="00CD4495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78FD3"/>
  <w15:docId w15:val="{E274E46D-A715-4F9C-ACB0-1F0286FD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2">
    <w:name w:val="heading 2"/>
    <w:basedOn w:val="Heading"/>
    <w:next w:val="Textbody"/>
    <w:link w:val="20"/>
    <w:pPr>
      <w:spacing w:before="200"/>
      <w:outlineLvl w:val="1"/>
    </w:pPr>
    <w:rPr>
      <w:rFonts w:asciiTheme="majorHAnsi" w:hAnsiTheme="majorHAnsi"/>
      <w:bCs/>
      <w:color w:val="2E74B5" w:themeColor="accent1" w:themeShade="BF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c"/>
    <w:uiPriority w:val="99"/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f8">
    <w:name w:val="List"/>
    <w:basedOn w:val="Textbody"/>
  </w:style>
  <w:style w:type="paragraph" w:styleId="af9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afa">
    <w:name w:val="List Paragraph"/>
    <w:basedOn w:val="a"/>
    <w:uiPriority w:val="34"/>
    <w:qFormat/>
    <w:pPr>
      <w:ind w:left="720"/>
      <w:contextualSpacing/>
    </w:pPr>
    <w:rPr>
      <w:szCs w:val="21"/>
    </w:rPr>
  </w:style>
  <w:style w:type="character" w:styleId="afb">
    <w:name w:val="annotation reference"/>
    <w:semiHidden/>
    <w:rPr>
      <w:sz w:val="16"/>
      <w:szCs w:val="16"/>
    </w:rPr>
  </w:style>
  <w:style w:type="paragraph" w:styleId="afc">
    <w:name w:val="annotation text"/>
    <w:basedOn w:val="a"/>
    <w:link w:val="afd"/>
    <w:rPr>
      <w:rFonts w:ascii="Times New Roman" w:eastAsia="Times New Roman" w:hAnsi="Times New Roman" w:cs="Arial"/>
      <w:sz w:val="20"/>
      <w:szCs w:val="20"/>
      <w:lang w:eastAsia="ru-RU" w:bidi="ar-SA"/>
    </w:rPr>
  </w:style>
  <w:style w:type="character" w:customStyle="1" w:styleId="afd">
    <w:name w:val="Текст примечания Знак"/>
    <w:basedOn w:val="a0"/>
    <w:link w:val="afc"/>
    <w:rPr>
      <w:rFonts w:ascii="Times New Roman" w:eastAsia="Times New Roman" w:hAnsi="Times New Roman" w:cs="Arial"/>
      <w:sz w:val="20"/>
      <w:szCs w:val="20"/>
      <w:lang w:eastAsia="ru-RU" w:bidi="ar-SA"/>
    </w:rPr>
  </w:style>
  <w:style w:type="paragraph" w:styleId="afe">
    <w:name w:val="Balloon Text"/>
    <w:basedOn w:val="a"/>
    <w:link w:val="aff"/>
    <w:uiPriority w:val="99"/>
    <w:semiHidden/>
    <w:unhideWhenUsed/>
    <w:rPr>
      <w:rFonts w:ascii="Segoe UI" w:hAnsi="Segoe UI"/>
      <w:sz w:val="18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Segoe UI" w:hAnsi="Segoe UI"/>
      <w:sz w:val="18"/>
      <w:szCs w:val="1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/>
      <w:color w:val="1F4D78" w:themeColor="accent1" w:themeShade="7F"/>
      <w:szCs w:val="2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paragraph" w:customStyle="1" w:styleId="13">
    <w:name w:val="Обычный1"/>
    <w:uiPriority w:val="99"/>
    <w:rsid w:val="00255C66"/>
    <w:rPr>
      <w:rFonts w:ascii="Times New Roman" w:eastAsia="Times New Roman" w:hAnsi="Times New Roman" w:cs="Times New Roman"/>
      <w:lang w:eastAsia="ru-RU" w:bidi="ar-SA"/>
    </w:rPr>
  </w:style>
  <w:style w:type="character" w:customStyle="1" w:styleId="docdata">
    <w:name w:val="docdata"/>
    <w:aliases w:val="docy,v5,3480,bqiaagaaeyqcaaagiaiaaampcgaabtckaaaaaaaaaaaaaaaaaaaaaaaaaaaaaaaaaaaaaaaaaaaaaaaaaaaaaaaaaaaaaaaaaaaaaaaaaaaaaaaaaaaaaaaaaaaaaaaaaaaaaaaaaaaaaaaaaaaaaaaaaaaaaaaaaaaaaaaaaaaaaaaaaaaaaaaaaaaaaaaaaaaaaaaaaaaaaaaaaaaaaaaaaaaaaaaaaaaaaaaa"/>
    <w:basedOn w:val="a0"/>
    <w:rsid w:val="00255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7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5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89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4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47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0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46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5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4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576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6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2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38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3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6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1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676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15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95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0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0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80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304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3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03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90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64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74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10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768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7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1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80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0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7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106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4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0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27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4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8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070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3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459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1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2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43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69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203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22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22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58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13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4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0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18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72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0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71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65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8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5c1581-2a85-4800-b9b2-afbc1314dc9b">
      <Terms xmlns="http://schemas.microsoft.com/office/infopath/2007/PartnerControls"/>
    </lcf76f155ced4ddcb4097134ff3c332f>
    <TaxCatchAll xmlns="bb186110-e7c2-42f5-89c0-05f0f5e864f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0B018B31FF8C48AEE9C3CCFCB89BD8" ma:contentTypeVersion="8" ma:contentTypeDescription="Создание документа." ma:contentTypeScope="" ma:versionID="d8d1ef79ca495ef34d1fd848ec3df3bb">
  <xsd:schema xmlns:xsd="http://www.w3.org/2001/XMLSchema" xmlns:xs="http://www.w3.org/2001/XMLSchema" xmlns:p="http://schemas.microsoft.com/office/2006/metadata/properties" xmlns:ns2="9f5c1581-2a85-4800-b9b2-afbc1314dc9b" xmlns:ns3="bb186110-e7c2-42f5-89c0-05f0f5e864f8" targetNamespace="http://schemas.microsoft.com/office/2006/metadata/properties" ma:root="true" ma:fieldsID="13d84a0e308acd8219c8fc418d4b7fd6" ns2:_="" ns3:_="">
    <xsd:import namespace="9f5c1581-2a85-4800-b9b2-afbc1314dc9b"/>
    <xsd:import namespace="bb186110-e7c2-42f5-89c0-05f0f5e864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c1581-2a85-4800-b9b2-afbc1314d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9dc207e-9144-46eb-ab5b-327058cbb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86110-e7c2-42f5-89c0-05f0f5e864f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68eb089-a549-436e-a3b5-18ce6be09f92}" ma:internalName="TaxCatchAll" ma:showField="CatchAllData" ma:web="bb186110-e7c2-42f5-89c0-05f0f5e864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F8959-6C64-4DDE-BCA0-2041EBA062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EE6C0F-5423-46A4-9CEF-AECE3FBE2990}">
  <ds:schemaRefs>
    <ds:schemaRef ds:uri="http://schemas.microsoft.com/office/2006/metadata/properties"/>
    <ds:schemaRef ds:uri="http://schemas.microsoft.com/office/infopath/2007/PartnerControls"/>
    <ds:schemaRef ds:uri="9f5c1581-2a85-4800-b9b2-afbc1314dc9b"/>
    <ds:schemaRef ds:uri="bb186110-e7c2-42f5-89c0-05f0f5e864f8"/>
  </ds:schemaRefs>
</ds:datastoreItem>
</file>

<file path=customXml/itemProps3.xml><?xml version="1.0" encoding="utf-8"?>
<ds:datastoreItem xmlns:ds="http://schemas.openxmlformats.org/officeDocument/2006/customXml" ds:itemID="{79B1F2D0-2D73-4AD7-B741-9C27E7597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c1581-2a85-4800-b9b2-afbc1314dc9b"/>
    <ds:schemaRef ds:uri="bb186110-e7c2-42f5-89c0-05f0f5e864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F95972-7226-41FB-8A41-E2EDE0434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Ayrat Zinatullin</cp:lastModifiedBy>
  <cp:revision>4</cp:revision>
  <dcterms:created xsi:type="dcterms:W3CDTF">2022-05-19T13:27:00Z</dcterms:created>
  <dcterms:modified xsi:type="dcterms:W3CDTF">2024-04-11T12:11:00Z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0x010100B30B018B31FF8C48AEE9C3CCFCB89BD8</vt:lpwstr>
  </property>
</Properties>
</file>